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C8" w:rsidRDefault="00AA5BC8" w:rsidP="00AA5BC8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BC8" w:rsidRPr="00FC6F1E" w:rsidRDefault="00AA5BC8" w:rsidP="00AA5BC8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AA5BC8" w:rsidRPr="00FC6F1E" w:rsidRDefault="00AA5BC8" w:rsidP="00AA5BC8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rPr>
                                <w:b/>
                              </w:rPr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A5BC8" w:rsidRPr="00FC6F1E" w:rsidRDefault="00AA5BC8" w:rsidP="00AA5BC8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FC6F1E">
                              <w:rPr>
                                <w:b/>
                              </w:rPr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AA5BC8" w:rsidRPr="00FC6F1E" w:rsidRDefault="00AA5BC8" w:rsidP="00AA5BC8">
                            <w:pPr>
                              <w:pStyle w:val="Nzev"/>
                              <w:spacing w:before="120"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31. května 2022</w:t>
                            </w:r>
                          </w:p>
                          <w:p w:rsidR="00AA5BC8" w:rsidRPr="00FC6F1E" w:rsidRDefault="00AA5BC8" w:rsidP="00AA5BC8">
                            <w:pPr>
                              <w:pStyle w:val="Nzev"/>
                              <w:spacing w:before="120" w:after="1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C6F1E">
                              <w:rPr>
                                <w:i/>
                                <w:sz w:val="20"/>
                                <w:szCs w:val="20"/>
                              </w:rPr>
                              <w:t>(výpis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usnesení</w:t>
                            </w:r>
                            <w:r w:rsidRPr="00FC6F1E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A5BC8" w:rsidRDefault="00AA5BC8" w:rsidP="00AA5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AA5BC8" w:rsidRPr="00FC6F1E" w:rsidRDefault="00AA5BC8" w:rsidP="00AA5BC8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AA5BC8" w:rsidRPr="00FC6F1E" w:rsidRDefault="00AA5BC8" w:rsidP="00AA5BC8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rPr>
                          <w:b/>
                        </w:rPr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rPr>
                          <w:b/>
                        </w:rPr>
                        <w:t xml:space="preserve"> </w:t>
                      </w:r>
                    </w:p>
                    <w:p w:rsidR="00AA5BC8" w:rsidRPr="00FC6F1E" w:rsidRDefault="00AA5BC8" w:rsidP="00AA5BC8">
                      <w:pPr>
                        <w:pStyle w:val="Nzev"/>
                        <w:rPr>
                          <w:b/>
                        </w:rPr>
                      </w:pPr>
                      <w:r w:rsidRPr="00FC6F1E">
                        <w:rPr>
                          <w:b/>
                        </w:rPr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AA5BC8" w:rsidRPr="00FC6F1E" w:rsidRDefault="00AA5BC8" w:rsidP="00AA5BC8">
                      <w:pPr>
                        <w:pStyle w:val="Nzev"/>
                        <w:spacing w:before="120"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31. května 2022</w:t>
                      </w:r>
                    </w:p>
                    <w:p w:rsidR="00AA5BC8" w:rsidRPr="00FC6F1E" w:rsidRDefault="00AA5BC8" w:rsidP="00AA5BC8">
                      <w:pPr>
                        <w:pStyle w:val="Nzev"/>
                        <w:spacing w:before="120" w:after="120"/>
                        <w:rPr>
                          <w:i/>
                          <w:sz w:val="20"/>
                          <w:szCs w:val="20"/>
                        </w:rPr>
                      </w:pPr>
                      <w:r w:rsidRPr="00FC6F1E">
                        <w:rPr>
                          <w:i/>
                          <w:sz w:val="20"/>
                          <w:szCs w:val="20"/>
                        </w:rPr>
                        <w:t>(výpis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usnesení</w:t>
                      </w:r>
                      <w:r w:rsidRPr="00FC6F1E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AA5BC8" w:rsidRDefault="00AA5BC8" w:rsidP="00AA5BC8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BC8" w:rsidRPr="0029706D" w:rsidRDefault="00AA5BC8" w:rsidP="00AA5BC8">
      <w:pPr>
        <w:pStyle w:val="Nzev"/>
      </w:pPr>
    </w:p>
    <w:p w:rsidR="00AA5BC8" w:rsidRDefault="00AA5BC8" w:rsidP="005144C6">
      <w:pPr>
        <w:pStyle w:val="Nadpis2"/>
      </w:pPr>
      <w:bookmarkStart w:id="74" w:name="_Toc93552058"/>
    </w:p>
    <w:p w:rsidR="00AA5BC8" w:rsidRDefault="00AA5BC8" w:rsidP="005144C6">
      <w:pPr>
        <w:pStyle w:val="Nadpis2"/>
      </w:pPr>
    </w:p>
    <w:p w:rsidR="00AA5BC8" w:rsidRDefault="00AA5BC8" w:rsidP="005144C6">
      <w:pPr>
        <w:pStyle w:val="Nadpis2"/>
      </w:pPr>
    </w:p>
    <w:p w:rsidR="00AA5BC8" w:rsidRDefault="00AA5BC8" w:rsidP="005144C6">
      <w:pPr>
        <w:pStyle w:val="Nadpis2"/>
      </w:pPr>
      <w:r>
        <w:t>___________________________________________________________________________</w:t>
      </w:r>
    </w:p>
    <w:p w:rsidR="00AA5BC8" w:rsidRDefault="00AA5BC8" w:rsidP="005144C6">
      <w:pPr>
        <w:pStyle w:val="Nadpis2"/>
      </w:pPr>
    </w:p>
    <w:p w:rsidR="00AA5BC8" w:rsidRDefault="00AA5BC8" w:rsidP="005144C6">
      <w:pPr>
        <w:pStyle w:val="Nadpis2"/>
      </w:pPr>
    </w:p>
    <w:bookmarkEnd w:id="74"/>
    <w:p w:rsidR="005144C6" w:rsidRPr="00E67C1A" w:rsidRDefault="005144C6" w:rsidP="005144C6">
      <w:pPr>
        <w:pStyle w:val="Nadpis2"/>
      </w:pPr>
      <w:r w:rsidRPr="00E67C1A">
        <w:t>Zásadní připomínka ke grafické části (výkresům)</w:t>
      </w:r>
      <w:r>
        <w:t xml:space="preserve"> - </w:t>
      </w:r>
      <w:r w:rsidRPr="00E67C1A">
        <w:t>Prvek 413/505/2792 rozvojová plocha, obytná, heterogenní struktura, 413/505/2736 rozvojová plocha, obytná, struktura areálů vybavenosti</w:t>
      </w:r>
    </w:p>
    <w:p w:rsidR="005144C6" w:rsidRPr="00E67C1A" w:rsidRDefault="005144C6" w:rsidP="005144C6">
      <w:pPr>
        <w:rPr>
          <w:rFonts w:cs="Calibri"/>
          <w:color w:val="000000"/>
        </w:rPr>
      </w:pPr>
      <w:r w:rsidRPr="00E67C1A">
        <w:rPr>
          <w:rFonts w:cs="Calibri"/>
          <w:noProof/>
          <w:color w:val="000000"/>
        </w:rPr>
        <w:drawing>
          <wp:inline distT="0" distB="0" distL="0" distR="0">
            <wp:extent cx="4257675" cy="21145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C6" w:rsidRPr="00E67C1A" w:rsidRDefault="005144C6" w:rsidP="005144C6">
      <w:pPr>
        <w:rPr>
          <w:rFonts w:cs="Calibri"/>
          <w:color w:val="000000"/>
        </w:rPr>
      </w:pPr>
      <w:r w:rsidRPr="00E67C1A">
        <w:rPr>
          <w:rFonts w:cs="Calibri"/>
          <w:b/>
          <w:bCs/>
          <w:color w:val="000000"/>
        </w:rPr>
        <w:t>Připomínkované prvky:</w:t>
      </w:r>
      <w:r w:rsidRPr="00E67C1A">
        <w:rPr>
          <w:rFonts w:cs="Calibri"/>
          <w:color w:val="000000"/>
        </w:rPr>
        <w:t>  Prvek 413/505/2792 rozvojová plocha, obytná, heterogenní struktura, 413/505/2736 rozvojová plocha, obytná, struktura areálů vybavenosti</w:t>
      </w:r>
    </w:p>
    <w:p w:rsidR="005144C6" w:rsidRPr="00E67C1A" w:rsidRDefault="005144C6" w:rsidP="005144C6">
      <w:pPr>
        <w:outlineLvl w:val="2"/>
        <w:rPr>
          <w:rFonts w:cs="Calibri"/>
          <w:b/>
          <w:bCs/>
          <w:color w:val="000000"/>
        </w:rPr>
      </w:pPr>
      <w:r w:rsidRPr="00E67C1A">
        <w:rPr>
          <w:rFonts w:cs="Calibri"/>
          <w:b/>
          <w:bCs/>
          <w:color w:val="000000"/>
        </w:rPr>
        <w:t>Text vyjádření</w:t>
      </w:r>
    </w:p>
    <w:p w:rsidR="005144C6" w:rsidRPr="00E67C1A" w:rsidRDefault="005144C6" w:rsidP="005144C6">
      <w:pPr>
        <w:rPr>
          <w:rFonts w:cs="Calibri"/>
          <w:color w:val="000000"/>
        </w:rPr>
      </w:pPr>
      <w:r w:rsidRPr="00E67C1A">
        <w:rPr>
          <w:rFonts w:cs="Calibri"/>
          <w:color w:val="000000"/>
        </w:rPr>
        <w:t>Rozvojové plochy 413/505/2792 o rozloze 122997 m</w:t>
      </w:r>
      <w:r w:rsidRPr="00E67C1A">
        <w:rPr>
          <w:rFonts w:cs="Calibri"/>
          <w:color w:val="000000"/>
          <w:vertAlign w:val="superscript"/>
        </w:rPr>
        <w:t>2</w:t>
      </w:r>
      <w:r w:rsidRPr="00E67C1A">
        <w:rPr>
          <w:rFonts w:cs="Calibri"/>
          <w:color w:val="000000"/>
        </w:rPr>
        <w:t xml:space="preserve"> a 413/505/2736 o rozloze 20179 m</w:t>
      </w:r>
      <w:r w:rsidRPr="00E67C1A">
        <w:rPr>
          <w:rFonts w:cs="Calibri"/>
          <w:color w:val="000000"/>
          <w:vertAlign w:val="superscript"/>
        </w:rPr>
        <w:t>2</w:t>
      </w:r>
      <w:r>
        <w:rPr>
          <w:rFonts w:cs="Calibri"/>
          <w:color w:val="000000"/>
        </w:rPr>
        <w:t xml:space="preserve"> vyjmout z </w:t>
      </w:r>
      <w:r w:rsidRPr="00E67C1A">
        <w:rPr>
          <w:rFonts w:cs="Calibri"/>
          <w:color w:val="000000"/>
        </w:rPr>
        <w:t>lokality 505 / sídliště Letňany a stanovit jako samostatnou lokalitu</w:t>
      </w:r>
    </w:p>
    <w:p w:rsidR="005144C6" w:rsidRPr="00E67C1A" w:rsidRDefault="005144C6" w:rsidP="005144C6">
      <w:pPr>
        <w:outlineLvl w:val="2"/>
        <w:rPr>
          <w:rFonts w:cs="Calibri"/>
          <w:b/>
          <w:bCs/>
          <w:color w:val="000000"/>
        </w:rPr>
      </w:pPr>
      <w:r w:rsidRPr="00E67C1A">
        <w:rPr>
          <w:rFonts w:cs="Calibri"/>
          <w:b/>
          <w:bCs/>
          <w:color w:val="000000"/>
        </w:rPr>
        <w:t>Zdůvodnění</w:t>
      </w:r>
    </w:p>
    <w:p w:rsidR="005144C6" w:rsidRPr="00E67C1A" w:rsidRDefault="005144C6" w:rsidP="005144C6">
      <w:pPr>
        <w:rPr>
          <w:rFonts w:cs="Calibri"/>
          <w:color w:val="000000"/>
        </w:rPr>
      </w:pPr>
      <w:r w:rsidRPr="00E67C1A">
        <w:rPr>
          <w:rFonts w:cs="Calibri"/>
          <w:color w:val="000000"/>
        </w:rPr>
        <w:t>Rozvojové plochy 413/505/2792 o rozloze 122997 m</w:t>
      </w:r>
      <w:r w:rsidRPr="00B80B8D">
        <w:rPr>
          <w:rFonts w:cs="Calibri"/>
          <w:color w:val="000000"/>
          <w:vertAlign w:val="superscript"/>
        </w:rPr>
        <w:t>2</w:t>
      </w:r>
      <w:r w:rsidRPr="00E67C1A">
        <w:rPr>
          <w:rFonts w:cs="Calibri"/>
          <w:color w:val="000000"/>
        </w:rPr>
        <w:t xml:space="preserve"> a 413/505/2736 o rozloze 20179 m</w:t>
      </w:r>
      <w:r w:rsidRPr="00E67C1A">
        <w:rPr>
          <w:rFonts w:cs="Calibri"/>
          <w:color w:val="000000"/>
          <w:vertAlign w:val="superscript"/>
        </w:rPr>
        <w:t>2</w:t>
      </w:r>
      <w:r w:rsidRPr="00E67C1A">
        <w:rPr>
          <w:rFonts w:cs="Calibri"/>
          <w:color w:val="000000"/>
        </w:rPr>
        <w:t>, jsou součástí rozsáhlé lokality 505 / sídliště Letňany. Stávající sídliště je součástí stabilizované zástavby, obě rozvojové lokality jsou odděleny od této stávající zástavby komunikací Tupolevova. Proto by bylo vhodné území, vymezené ulicemi Kbelská, Tupolevova, Opočenská a na severní straně objekty sportovních areálů, řešit zcela odděleně jako samostatnou lokalitu, se všemi jejími specifiky (rozsáhlé území, ve kterém se na jeho severovýchodní straně nachází přivaděč teplovodu a na jihozápadní straně nadzemní vedení 110 KV). Dalším z důvodů je i to, že zde v současné době probíhá projednáván</w:t>
      </w:r>
      <w:r>
        <w:rPr>
          <w:rFonts w:cs="Calibri"/>
          <w:color w:val="000000"/>
        </w:rPr>
        <w:t>í změny ÚPn pod č. Z3036, jejíž </w:t>
      </w:r>
      <w:r w:rsidRPr="00E67C1A">
        <w:rPr>
          <w:rFonts w:cs="Calibri"/>
          <w:color w:val="000000"/>
        </w:rPr>
        <w:t xml:space="preserve">zadání bylo schválené dne </w:t>
      </w:r>
      <w:proofErr w:type="gramStart"/>
      <w:r w:rsidRPr="00E67C1A">
        <w:rPr>
          <w:rFonts w:cs="Calibri"/>
          <w:color w:val="000000"/>
        </w:rPr>
        <w:t>14.06.2018</w:t>
      </w:r>
      <w:proofErr w:type="gramEnd"/>
      <w:r w:rsidRPr="00E67C1A">
        <w:rPr>
          <w:rFonts w:cs="Calibri"/>
          <w:color w:val="000000"/>
        </w:rPr>
        <w:t xml:space="preserve"> (usnesení ZHMP 38/104).</w:t>
      </w:r>
    </w:p>
    <w:p w:rsidR="005144C6" w:rsidRPr="00E67C1A" w:rsidRDefault="005144C6" w:rsidP="005144C6">
      <w:pPr>
        <w:rPr>
          <w:rFonts w:cs="Calibri"/>
          <w:color w:val="000000"/>
        </w:rPr>
      </w:pPr>
    </w:p>
    <w:p w:rsidR="005144C6" w:rsidRPr="00E67C1A" w:rsidRDefault="005144C6" w:rsidP="005144C6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b/>
          <w:szCs w:val="22"/>
        </w:rPr>
        <w:t>Usnesení 06/VÚRP05/22:</w:t>
      </w:r>
    </w:p>
    <w:p w:rsidR="005144C6" w:rsidRPr="00E67C1A" w:rsidRDefault="005144C6" w:rsidP="005144C6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- </w:t>
      </w:r>
      <w:r w:rsidRPr="00E67C1A">
        <w:rPr>
          <w:rFonts w:cs="Calibri"/>
        </w:rPr>
        <w:t>Prvek 413/505/2792 rozvojová plocha, obytná, heterogenní struktura, 413/505/2736 rozvojová plocha, obytná, struktura areálů vybavenost</w:t>
      </w:r>
      <w:r w:rsidRPr="00E67C1A">
        <w:rPr>
          <w:b/>
          <w:szCs w:val="22"/>
        </w:rPr>
        <w:t xml:space="preserve">. </w:t>
      </w:r>
    </w:p>
    <w:p w:rsidR="005144C6" w:rsidRPr="00E67C1A" w:rsidRDefault="005144C6" w:rsidP="005144C6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5144C6" w:rsidRPr="00E67C1A" w:rsidRDefault="005144C6" w:rsidP="005144C6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5144C6" w:rsidRPr="00E67C1A" w:rsidRDefault="005144C6" w:rsidP="005144C6">
      <w:pPr>
        <w:pStyle w:val="Zkladnodstavec"/>
        <w:adjustRightInd/>
        <w:spacing w:line="276" w:lineRule="auto"/>
        <w:textAlignment w:val="auto"/>
        <w:rPr>
          <w:color w:val="auto"/>
          <w:szCs w:val="22"/>
        </w:rPr>
      </w:pPr>
    </w:p>
    <w:p w:rsidR="005144C6" w:rsidRPr="00E67C1A" w:rsidRDefault="005144C6" w:rsidP="005144C6">
      <w:pPr>
        <w:spacing w:after="120"/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>pro   5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>proti   0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>se   0</w:t>
      </w:r>
      <w:proofErr w:type="gramEnd"/>
    </w:p>
    <w:p w:rsidR="00AC38A6" w:rsidRPr="005144C6" w:rsidRDefault="005144C6" w:rsidP="005144C6">
      <w:pPr>
        <w:spacing w:after="120"/>
        <w:ind w:left="720" w:firstLine="698"/>
        <w:rPr>
          <w:rFonts w:cs="Calibri"/>
          <w:color w:val="000000"/>
        </w:rPr>
      </w:pPr>
      <w:r>
        <w:rPr>
          <w:b/>
          <w:snapToGrid w:val="0"/>
          <w:color w:val="000000"/>
          <w:szCs w:val="22"/>
        </w:rPr>
        <w:t>Usnesení bylo přijato</w:t>
      </w:r>
      <w:r w:rsidRPr="00E67C1A">
        <w:rPr>
          <w:rFonts w:cs="Calibri"/>
          <w:color w:val="000000"/>
        </w:rPr>
        <w:t xml:space="preserve"> </w:t>
      </w:r>
      <w:bookmarkStart w:id="75" w:name="_GoBack"/>
      <w:bookmarkEnd w:id="75"/>
    </w:p>
    <w:sectPr w:rsidR="00AC38A6" w:rsidRPr="005144C6" w:rsidSect="00FC6F1E">
      <w:footerReference w:type="default" r:id="rId9"/>
      <w:headerReference w:type="first" r:id="rId10"/>
      <w:footerReference w:type="first" r:id="rId11"/>
      <w:pgSz w:w="11906" w:h="16838"/>
      <w:pgMar w:top="-993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F6" w:rsidRDefault="00082EF6" w:rsidP="005144C6">
      <w:r>
        <w:separator/>
      </w:r>
    </w:p>
  </w:endnote>
  <w:endnote w:type="continuationSeparator" w:id="0">
    <w:p w:rsidR="00082EF6" w:rsidRDefault="00082EF6" w:rsidP="0051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C6" w:rsidRDefault="005144C6" w:rsidP="005144C6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31.05.2022</w:t>
    </w:r>
    <w:proofErr w:type="gramEnd"/>
  </w:p>
  <w:p w:rsidR="00770889" w:rsidRDefault="00082E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082EF6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F6" w:rsidRDefault="00082EF6" w:rsidP="005144C6">
      <w:r>
        <w:separator/>
      </w:r>
    </w:p>
  </w:footnote>
  <w:footnote w:type="continuationSeparator" w:id="0">
    <w:p w:rsidR="00082EF6" w:rsidRDefault="00082EF6" w:rsidP="0051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082EF6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082EF6" w:rsidP="000B565E">
    <w:pPr>
      <w:pStyle w:val="Zhlav"/>
      <w:jc w:val="right"/>
    </w:pPr>
    <w:r w:rsidRPr="00E7643B">
      <w:t>MC18 999/2019 OVÚR</w:t>
    </w:r>
  </w:p>
  <w:p w:rsidR="00770889" w:rsidRDefault="00082E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C0336"/>
    <w:multiLevelType w:val="hybridMultilevel"/>
    <w:tmpl w:val="872C479A"/>
    <w:lvl w:ilvl="0" w:tplc="92F8B1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C8"/>
    <w:rsid w:val="00082EF6"/>
    <w:rsid w:val="005144C6"/>
    <w:rsid w:val="00AA5BC8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8DE4-C88C-4CE4-9B72-64774EFD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BC8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5144C6"/>
    <w:pPr>
      <w:keepNext/>
      <w:spacing w:before="120"/>
      <w:jc w:val="both"/>
      <w:outlineLvl w:val="1"/>
    </w:pPr>
    <w:rPr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144C6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AA5BC8"/>
    <w:pPr>
      <w:jc w:val="center"/>
    </w:pPr>
    <w:rPr>
      <w:bCs/>
      <w:kern w:val="28"/>
      <w:sz w:val="32"/>
      <w:szCs w:val="22"/>
    </w:rPr>
  </w:style>
  <w:style w:type="character" w:customStyle="1" w:styleId="NzevChar">
    <w:name w:val="Název Char"/>
    <w:basedOn w:val="Standardnpsmoodstavce"/>
    <w:link w:val="Nzev"/>
    <w:rsid w:val="00AA5BC8"/>
    <w:rPr>
      <w:rFonts w:ascii="Garamond" w:eastAsia="Times New Roman" w:hAnsi="Garamond" w:cs="Times New Roman"/>
      <w:bCs/>
      <w:kern w:val="28"/>
      <w:sz w:val="32"/>
      <w:lang w:eastAsia="cs-CZ"/>
    </w:rPr>
  </w:style>
  <w:style w:type="paragraph" w:styleId="Zhlav">
    <w:name w:val="header"/>
    <w:basedOn w:val="Normln"/>
    <w:link w:val="ZhlavChar"/>
    <w:uiPriority w:val="99"/>
    <w:rsid w:val="00AA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BC8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BC8"/>
    <w:rPr>
      <w:rFonts w:ascii="Garamond" w:eastAsia="Times New Roman" w:hAnsi="Garamond" w:cs="Times New Roman"/>
      <w:szCs w:val="24"/>
      <w:lang w:eastAsia="cs-CZ"/>
    </w:rPr>
  </w:style>
  <w:style w:type="paragraph" w:customStyle="1" w:styleId="Zkladnodstavec">
    <w:name w:val="[Základní odstavec]"/>
    <w:basedOn w:val="Normln"/>
    <w:rsid w:val="005144C6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2022-06-21T08:07:00Z</dcterms:created>
  <dcterms:modified xsi:type="dcterms:W3CDTF">2022-06-21T08:32:00Z</dcterms:modified>
</cp:coreProperties>
</file>