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98" w:rsidRDefault="00A72498" w:rsidP="00A75862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87AA7" wp14:editId="312654A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376680"/>
                <wp:effectExtent l="0" t="1905" r="0" b="25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498" w:rsidRPr="00FC6F1E" w:rsidRDefault="00A72498" w:rsidP="00A75862">
                            <w:pPr>
                              <w:pStyle w:val="Nzev"/>
                            </w:pPr>
                            <w:r w:rsidRPr="00FC6F1E"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A72498" w:rsidRPr="00FC6F1E" w:rsidRDefault="00A72498" w:rsidP="00A75862">
                            <w:pPr>
                              <w:pStyle w:val="Nzev"/>
                            </w:pPr>
                            <w:r w:rsidRPr="00FC6F1E"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FC6F1E"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FC6F1E">
                              <w:t xml:space="preserve"> </w:t>
                            </w:r>
                          </w:p>
                          <w:p w:rsidR="00A72498" w:rsidRPr="00FC6F1E" w:rsidRDefault="00A72498" w:rsidP="00A75862">
                            <w:pPr>
                              <w:pStyle w:val="Nzev"/>
                            </w:pPr>
                            <w:r w:rsidRPr="00FC6F1E"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A72498" w:rsidRPr="00FC6F1E" w:rsidRDefault="00A72498" w:rsidP="00A75862">
                            <w:pPr>
                              <w:pStyle w:val="Nzev"/>
                            </w:pPr>
                            <w:r>
                              <w:t>1</w:t>
                            </w:r>
                            <w:r w:rsidR="00A75862">
                              <w:t>5</w:t>
                            </w:r>
                            <w:r>
                              <w:t>. června 2022</w:t>
                            </w:r>
                          </w:p>
                          <w:p w:rsidR="00A72498" w:rsidRPr="00A75862" w:rsidRDefault="00A72498" w:rsidP="00A75862">
                            <w:pPr>
                              <w:pStyle w:val="Nzev"/>
                            </w:pPr>
                            <w:r w:rsidRPr="00A75862">
                              <w:t>(výpis usnesení</w:t>
                            </w:r>
                            <w:r w:rsidR="00A75862" w:rsidRPr="00A75862">
                              <w:t xml:space="preserve"> č. 04/VURP/22</w:t>
                            </w:r>
                            <w:r w:rsidRPr="00A75862">
                              <w:t>)</w:t>
                            </w:r>
                          </w:p>
                          <w:p w:rsidR="00A72498" w:rsidRDefault="00A72498" w:rsidP="00A724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87A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08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4miwIAABU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ZumL2TxFU4W25MV8NlsEAiNWHI5r&#10;Y90rDh3xk5Ia5D/As92tdT4cVhxc/G0WpKhXQsqwMJv1tTRkx1Arq/CFDJ64SeWdFfhjI+K4g1Hi&#10;Hd7m4w3cf8mTNIuv0nyymi3mk2yVTSf5PF5M4iS/ymdxlmc3q68+wCQrWlHXXN0KxQ86TLK/43nf&#10;EaOCghJJX9J8mk5Hjv6YZBy+3yXZCYdtKUVX0sXRiRWe2ZeqxrRZ4ZiQ4zz6OfxQZazB4R+qEnTg&#10;qR9F4Ib1gCheHGuoH1ARBpAv5BbfEpy0YD5T0mNfltR+2jLDKZGvFaoqT7LMN3JYZNOgB3NqWZ9a&#10;mKoQqqSOknF67cbm32ojNi3eNOpYwSUqsRFBI49R7fWLvReS2b8TvrlP18Hr8TVb/gAAAP//AwBQ&#10;SwMEFAAGAAgAAAAhABGfL2TbAAAABQEAAA8AAABkcnMvZG93bnJldi54bWxMj8FOwzAQRO9I/IO1&#10;lbgg6jQCp4Q4FSCBuLb0AzbxNokar6PYbdK/x3Chl5VGM5p5W2xm24szjb5zrGG1TEAQ18503GjY&#10;f388rEH4gGywd0waLuRhU97eFJgbN/GWzrvQiFjCPkcNbQhDLqWvW7Lol24gjt7BjRZDlGMjzYhT&#10;LLe9TJNESYsdx4UWB3pvqT7uTlbD4Wu6f3qeqs+wz7aP6g27rHIXre8W8+sLiEBz+A/DL35EhzIy&#10;Ve7ExoteQ3wk/N3oKZWlICoN6UqtQZaFvKYvfwAAAP//AwBQSwECLQAUAAYACAAAACEAtoM4kv4A&#10;AADhAQAAEwAAAAAAAAAAAAAAAAAAAAAAW0NvbnRlbnRfVHlwZXNdLnhtbFBLAQItABQABgAIAAAA&#10;IQA4/SH/1gAAAJQBAAALAAAAAAAAAAAAAAAAAC8BAABfcmVscy8ucmVsc1BLAQItABQABgAIAAAA&#10;IQCuYj4miwIAABUFAAAOAAAAAAAAAAAAAAAAAC4CAABkcnMvZTJvRG9jLnhtbFBLAQItABQABgAI&#10;AAAAIQARny9k2wAAAAUBAAAPAAAAAAAAAAAAAAAAAOUEAABkcnMvZG93bnJldi54bWxQSwUGAAAA&#10;AAQABADzAAAA7QUAAAAA&#10;" stroked="f">
                <v:textbox>
                  <w:txbxContent>
                    <w:p w:rsidR="00A72498" w:rsidRPr="00FC6F1E" w:rsidRDefault="00A72498" w:rsidP="00A75862">
                      <w:pPr>
                        <w:pStyle w:val="Nzev"/>
                      </w:pPr>
                      <w:r w:rsidRPr="00FC6F1E"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A72498" w:rsidRPr="00FC6F1E" w:rsidRDefault="00A72498" w:rsidP="00A75862">
                      <w:pPr>
                        <w:pStyle w:val="Nzev"/>
                      </w:pPr>
                      <w:r w:rsidRPr="00FC6F1E"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FC6F1E"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FC6F1E">
                        <w:t xml:space="preserve"> </w:t>
                      </w:r>
                    </w:p>
                    <w:p w:rsidR="00A72498" w:rsidRPr="00FC6F1E" w:rsidRDefault="00A72498" w:rsidP="00A75862">
                      <w:pPr>
                        <w:pStyle w:val="Nzev"/>
                      </w:pPr>
                      <w:r w:rsidRPr="00FC6F1E"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A72498" w:rsidRPr="00FC6F1E" w:rsidRDefault="00A72498" w:rsidP="00A75862">
                      <w:pPr>
                        <w:pStyle w:val="Nzev"/>
                      </w:pPr>
                      <w:r>
                        <w:t>1</w:t>
                      </w:r>
                      <w:r w:rsidR="00A75862">
                        <w:t>5</w:t>
                      </w:r>
                      <w:r>
                        <w:t>. června 2022</w:t>
                      </w:r>
                    </w:p>
                    <w:p w:rsidR="00A72498" w:rsidRPr="00A75862" w:rsidRDefault="00A72498" w:rsidP="00A75862">
                      <w:pPr>
                        <w:pStyle w:val="Nzev"/>
                      </w:pPr>
                      <w:r w:rsidRPr="00A75862">
                        <w:t>(výpis usnesení</w:t>
                      </w:r>
                      <w:r w:rsidR="00A75862" w:rsidRPr="00A75862">
                        <w:t xml:space="preserve"> č. 04/VURP/22</w:t>
                      </w:r>
                      <w:r w:rsidRPr="00A75862">
                        <w:t>)</w:t>
                      </w:r>
                    </w:p>
                    <w:p w:rsidR="00A72498" w:rsidRDefault="00A72498" w:rsidP="00A72498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 wp14:anchorId="268B3BED" wp14:editId="4686CD16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498" w:rsidRPr="0029706D" w:rsidRDefault="00A72498" w:rsidP="00A75862">
      <w:pPr>
        <w:pStyle w:val="Nzev"/>
      </w:pPr>
    </w:p>
    <w:p w:rsidR="00A72498" w:rsidRDefault="00A72498" w:rsidP="00A72498">
      <w:pPr>
        <w:pStyle w:val="Nadpis2"/>
      </w:pPr>
      <w:bookmarkStart w:id="74" w:name="_Toc93552058"/>
    </w:p>
    <w:p w:rsidR="00A72498" w:rsidRDefault="00A72498" w:rsidP="00A72498">
      <w:pPr>
        <w:pStyle w:val="Nadpis2"/>
      </w:pPr>
    </w:p>
    <w:p w:rsidR="00A72498" w:rsidRDefault="00A72498" w:rsidP="00A72498">
      <w:pPr>
        <w:pStyle w:val="Nadpis2"/>
      </w:pPr>
    </w:p>
    <w:p w:rsidR="00A72498" w:rsidRDefault="00A72498" w:rsidP="00A72498">
      <w:pPr>
        <w:pStyle w:val="Nadpis2"/>
      </w:pPr>
      <w:r>
        <w:t>___________________________________________________________________________</w:t>
      </w:r>
    </w:p>
    <w:p w:rsidR="00A75862" w:rsidRDefault="00A75862" w:rsidP="00A75862">
      <w:pPr>
        <w:jc w:val="both"/>
      </w:pPr>
      <w:bookmarkStart w:id="75" w:name="_Toc106258164"/>
      <w:bookmarkStart w:id="76" w:name="_Toc106685853"/>
      <w:bookmarkEnd w:id="74"/>
      <w:r>
        <w:t xml:space="preserve">Vzhledem k tomu, že se sešli pouze čtyři členové VÚRP nebyl výbor </w:t>
      </w:r>
      <w:proofErr w:type="spellStart"/>
      <w:r>
        <w:t>usnášeníshopný</w:t>
      </w:r>
      <w:proofErr w:type="spellEnd"/>
      <w:r>
        <w:t>, tedy nebyl schopen přijímat usnesení.</w:t>
      </w:r>
    </w:p>
    <w:p w:rsidR="00A75862" w:rsidRDefault="00A75862" w:rsidP="00A75862">
      <w:pPr>
        <w:jc w:val="both"/>
      </w:pPr>
      <w:bookmarkStart w:id="77" w:name="_Toc106258158"/>
    </w:p>
    <w:p w:rsidR="00A75862" w:rsidRDefault="00A75862" w:rsidP="00A75862">
      <w:pPr>
        <w:jc w:val="both"/>
        <w:rPr>
          <w:i/>
        </w:rPr>
      </w:pPr>
      <w:r>
        <w:t xml:space="preserve">Jednání výboru je tak zrušeno, resp. k jednotlivým bodům jednání nebudou přijata žádná usnesení. Členům VÚRP bude materiál, vzhledem ke stanoveným lhůtám připomínkování metropolitního plánu, zaslán k hlasování v souladu s čl. IV. odst. 4) jednacího řádu výborů ZMČ Praha 18, schváleného usnesením č. 083/Z5/14, který stanoví, že </w:t>
      </w:r>
      <w:r w:rsidRPr="009B5EFD">
        <w:rPr>
          <w:i/>
        </w:rPr>
        <w:t>Jednání výboru se může uskutečnit i výjimeč</w:t>
      </w:r>
      <w:r>
        <w:rPr>
          <w:i/>
        </w:rPr>
        <w:t>ně ve lhůtě kratší než 7 dní, a </w:t>
      </w:r>
      <w:r w:rsidRPr="009B5EFD">
        <w:rPr>
          <w:i/>
        </w:rPr>
        <w:t>to zejména z důvodu operativnosti a rychlosti projednání stanovisek. V takovém případě se připouští i  procedura  hlasování per rollam. Výsledky takového hlasování jsou uvedeny a potvrzeny na následujícím jednání příslušného výboru.</w:t>
      </w:r>
      <w:bookmarkEnd w:id="77"/>
      <w:r w:rsidRPr="009B5EFD">
        <w:rPr>
          <w:i/>
        </w:rPr>
        <w:t xml:space="preserve"> </w:t>
      </w:r>
    </w:p>
    <w:p w:rsidR="00A75862" w:rsidRDefault="00A75862" w:rsidP="00A75862">
      <w:pPr>
        <w:jc w:val="both"/>
      </w:pPr>
    </w:p>
    <w:p w:rsidR="00A75862" w:rsidRPr="004B6D08" w:rsidRDefault="00A75862" w:rsidP="00A75862">
      <w:pPr>
        <w:pBdr>
          <w:bottom w:val="single" w:sz="4" w:space="1" w:color="auto"/>
        </w:pBdr>
        <w:jc w:val="both"/>
        <w:rPr>
          <w:b/>
        </w:rPr>
      </w:pPr>
      <w:r w:rsidRPr="004B6D08">
        <w:rPr>
          <w:b/>
        </w:rPr>
        <w:t xml:space="preserve">Hlasování Per rollam bylo ukončeno dne </w:t>
      </w:r>
      <w:proofErr w:type="gramStart"/>
      <w:r w:rsidRPr="004B6D08">
        <w:rPr>
          <w:b/>
        </w:rPr>
        <w:t>21.06.2022</w:t>
      </w:r>
      <w:proofErr w:type="gramEnd"/>
    </w:p>
    <w:p w:rsidR="00A72498" w:rsidRPr="00A72498" w:rsidRDefault="00A75862" w:rsidP="00A72498">
      <w:pPr>
        <w:pStyle w:val="Nadpis3"/>
        <w:keepLines w:val="0"/>
        <w:numPr>
          <w:ilvl w:val="1"/>
          <w:numId w:val="0"/>
        </w:numPr>
        <w:spacing w:before="120"/>
        <w:ind w:left="709" w:hanging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1.4 </w:t>
      </w:r>
      <w:r w:rsidR="00A72498" w:rsidRPr="00A72498">
        <w:rPr>
          <w:rFonts w:ascii="Times New Roman" w:hAnsi="Times New Roman" w:cs="Times New Roman"/>
          <w:b/>
          <w:color w:val="auto"/>
        </w:rPr>
        <w:t>Zásadní připomínka ke grafické části (výkresům) – Letňany západ</w:t>
      </w:r>
      <w:bookmarkEnd w:id="75"/>
      <w:bookmarkEnd w:id="76"/>
    </w:p>
    <w:p w:rsidR="00A72498" w:rsidRPr="00E67C1A" w:rsidRDefault="00A72498" w:rsidP="00A72498">
      <w:pPr>
        <w:rPr>
          <w:rFonts w:cs="Calibri"/>
          <w:color w:val="000000"/>
        </w:rPr>
      </w:pPr>
      <w:r w:rsidRPr="00E67C1A">
        <w:rPr>
          <w:rFonts w:cs="Calibri"/>
          <w:noProof/>
          <w:color w:val="000000"/>
        </w:rPr>
        <w:drawing>
          <wp:inline distT="0" distB="0" distL="0" distR="0">
            <wp:extent cx="5753100" cy="28670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98" w:rsidRPr="00A75862" w:rsidRDefault="00A72498" w:rsidP="00A72498">
      <w:pPr>
        <w:jc w:val="both"/>
        <w:rPr>
          <w:b/>
        </w:rPr>
      </w:pPr>
      <w:r w:rsidRPr="00A75862">
        <w:rPr>
          <w:b/>
        </w:rPr>
        <w:t>Text vyjádření</w:t>
      </w:r>
    </w:p>
    <w:p w:rsidR="00A72498" w:rsidRPr="00E67C1A" w:rsidRDefault="00A72498" w:rsidP="00A72498">
      <w:pPr>
        <w:jc w:val="both"/>
      </w:pPr>
      <w:r w:rsidRPr="00E67C1A">
        <w:t>505 / Sídliště Letňany 928 / Ďáblice – Třeboradice Městská část Praha 18 požaduje zohlednit probíhající změnu územního plánu Z 3036/10 v rozsahu dle podkladové studie „Letňany Západ – Podkladová studie pro změnu územního plánu č. Z 3036“, zpracovatel Jakub Cigler Architekti a.s., po aktualizaci 01/2022, upravením rozhraní mezi lokalitami 505 / Sídliště Letňany a 928 / Ďáblice – Třeboradice, rozšířením hranice zastavitelné transformační a rozvojové plochy doplňující stáv</w:t>
      </w:r>
      <w:r>
        <w:t>ající struktury 413/505/2792 na </w:t>
      </w:r>
      <w:r w:rsidRPr="00E67C1A">
        <w:t>celkovou výměru 218 714 m2 a přizpůsobením jejich parametrů. V rozvojové ploše 413/505/2792 požaduje MČ zachování vymezení dvou městských parků bodem a dále požaduje zachování plochy pro veřejnou vybavenost 800/505/2258. U výškové regulace požaduje MČ v rozsahu upravené rozvojové plochy 413/505/2792 navýšit rozsah maximálního regulovaného počtu nadzemních podlaží na 12 NP.</w:t>
      </w:r>
    </w:p>
    <w:p w:rsidR="00A72498" w:rsidRPr="00A75862" w:rsidRDefault="00A72498" w:rsidP="00A72498">
      <w:pPr>
        <w:jc w:val="both"/>
        <w:rPr>
          <w:b/>
        </w:rPr>
      </w:pPr>
      <w:r w:rsidRPr="00A75862">
        <w:rPr>
          <w:b/>
        </w:rPr>
        <w:t>Zdůvodnění</w:t>
      </w:r>
    </w:p>
    <w:p w:rsidR="00A72498" w:rsidRPr="00E67C1A" w:rsidRDefault="00A72498" w:rsidP="00A72498">
      <w:pPr>
        <w:jc w:val="both"/>
      </w:pPr>
      <w:r w:rsidRPr="00E67C1A">
        <w:t xml:space="preserve">Zastupitelstvo hl. m. Prahy schválilo usnesením č. 38/104 dne </w:t>
      </w:r>
      <w:proofErr w:type="gramStart"/>
      <w:r w:rsidRPr="00E67C1A">
        <w:t>14.06.2018</w:t>
      </w:r>
      <w:proofErr w:type="gramEnd"/>
      <w:r w:rsidRPr="00E67C1A">
        <w:t xml:space="preserve"> zadání změny územního plánu SÚ hl. m. Prahy. Pro návrh změny požadovalo zastupitelstvo zpracování vyhodnocení vlivů na udržitelný rozvoj území (VVURÚ), z důvodu nutnosti koncepčního řešení podkladovou studii a odůvodnění potřeby nárůstu zastavitelných ploch na úkor ploch nezastavitelných dle § 55 odst. 4 stavebního zákona. Ke dni vystavení návrhu Územního plánu hl. m. Prahy (Metropolitního plánu) a oznámení konání dvou veřejných projednání je zpracována podkladové studie „Letňany Západ – Podkladová studie pro změnu územního plánu č. Z 3036“, odůvodnění potřeby nárůstu zastavitelných ploch n</w:t>
      </w:r>
      <w:r>
        <w:t>a úkor ploch nezastavitelných a </w:t>
      </w:r>
      <w:r w:rsidRPr="00E67C1A">
        <w:t xml:space="preserve">probíhá výběr zpracovatele vyhodnocení vlivů na udržitelný rozvoj území (VVURÚ). Podkladovou studii „Letňany Západ – Podkladová </w:t>
      </w:r>
      <w:r w:rsidRPr="00E67C1A">
        <w:lastRenderedPageBreak/>
        <w:t>studie pro změnu územního plán</w:t>
      </w:r>
      <w:r>
        <w:t>u č. Z 3036“, zpracovatel Jakub </w:t>
      </w:r>
      <w:r w:rsidRPr="00E67C1A">
        <w:t xml:space="preserve">Cigler Architekti a.s., po aktualizaci 01/2022, verifikoval Institut plánování a rozvoje hl. m. Prahy dne 25.02.2022 pod </w:t>
      </w:r>
      <w:proofErr w:type="gramStart"/>
      <w:r w:rsidRPr="00E67C1A">
        <w:t>č.j.</w:t>
      </w:r>
      <w:proofErr w:type="gramEnd"/>
      <w:r w:rsidRPr="00E67C1A">
        <w:t xml:space="preserve"> 02320/2022vl. jako podkladovou studii s tím,</w:t>
      </w:r>
      <w:r>
        <w:t xml:space="preserve"> že posuzovaná dokumentace je </w:t>
      </w:r>
      <w:r w:rsidRPr="00E67C1A">
        <w:t>dostatečným podkladem pro zpracování návrhu změny, i jako budoucí podklad pro externího zpracovatele dokumentace Vyhodnocení vlivů na udržitelný rozvoj území (VVURÚ). Přílohou podkladové studie je i podrobné odůvodnění potřeby nárůstu zastavitelných ploch na úkor ploch nezastavitelných dle § 55 odst. 4 stavebního zákona. V rámci společného jednání uplatnila MČ požadavek na úpravu lokality 921 / Ďáblice – Kbely s odvoláním na schválené pořízení změny Z 3036. Zpracovatel návrhu Metropolitního plánu upravil dokumentaci pro veřejné projednání bez možnosti využít pro návrh verifikovanou podkladovou studii a odůvodnění potřeby nárůstu zastavitelných ploch na úkor ploch nezastavitelných, které je nyní k dispozici. Rozsah navržených změn je tak možné doložitelně korigovat. Podkladová studie velmi podrobně prověřuje rozsah řešeného území, navrhuje vymezení veřejné vybavenosti, veřejných prostranství a parků a předkládá prostorovou regulaci v parametrech stávajícího územního plánu. Podle této studie jsou v řešeném území navržené plochy SV - H, VV, SP, PP a ZMK. Ve</w:t>
      </w:r>
      <w:r>
        <w:t> </w:t>
      </w:r>
      <w:r w:rsidRPr="00E67C1A">
        <w:t>shodě s požadavky hl. m. Prahy uzavřela MČ nad rámcem podkladové studie dohody se zástupci budoucích investorů, které zajistí udržitelnost rozvoje městské části odpovídajícími příspěvky na veřejnou infrastrukturu městské části, a umožní dostatečně vyvážit plánovaný nárůst obyvatel výstavbou základní školy, mateřských škol a rozsáhlých ploch městské zeleně. Z těchto důvodů požaduje MČ v návrhu Metropolitního plánu v území daném rozsahem řešeného území zm</w:t>
      </w:r>
      <w:r>
        <w:t>ěny Z 3036 o celkové výměře 238 893 </w:t>
      </w:r>
      <w:r w:rsidRPr="00E67C1A">
        <w:t>m</w:t>
      </w:r>
      <w:r w:rsidRPr="00E67C1A">
        <w:rPr>
          <w:vertAlign w:val="superscript"/>
        </w:rPr>
        <w:t>2</w:t>
      </w:r>
      <w:r w:rsidRPr="00E67C1A">
        <w:t xml:space="preserve"> zajistit zastavitelnost danou podkladovou studií dle výměr a kap</w:t>
      </w:r>
      <w:r>
        <w:t>acit navržených ploch s tím, že </w:t>
      </w:r>
      <w:r w:rsidRPr="00E67C1A">
        <w:t>pro plochu SV - H požaduje MČ limitovat maximální kapacitu plochy hodnotou 312 948 m</w:t>
      </w:r>
      <w:r w:rsidRPr="00E67C1A">
        <w:rPr>
          <w:vertAlign w:val="superscript"/>
        </w:rPr>
        <w:t>2</w:t>
      </w:r>
      <w:r>
        <w:t xml:space="preserve"> HPP a </w:t>
      </w:r>
      <w:r w:rsidRPr="00E67C1A">
        <w:t>minimální výměru plochy VV hodnotou 19 999 m</w:t>
      </w:r>
      <w:r w:rsidRPr="00E67C1A">
        <w:rPr>
          <w:vertAlign w:val="superscript"/>
        </w:rPr>
        <w:t>2</w:t>
      </w:r>
      <w:r w:rsidRPr="00E67C1A">
        <w:t>.</w:t>
      </w:r>
    </w:p>
    <w:p w:rsidR="00A72498" w:rsidRPr="00E67C1A" w:rsidRDefault="00A72498" w:rsidP="00A72498">
      <w:pPr>
        <w:jc w:val="both"/>
      </w:pPr>
      <w:r w:rsidRPr="00E67C1A">
        <w:t>Přílohy</w:t>
      </w:r>
    </w:p>
    <w:p w:rsidR="00A72498" w:rsidRPr="00E67C1A" w:rsidRDefault="009633C2" w:rsidP="00A72498">
      <w:pPr>
        <w:jc w:val="both"/>
        <w:rPr>
          <w:szCs w:val="27"/>
        </w:rPr>
      </w:pPr>
      <w:hyperlink r:id="rId9" w:history="1">
        <w:r w:rsidR="00A72498" w:rsidRPr="00E67C1A">
          <w:rPr>
            <w:rStyle w:val="Hypertextovodkaz"/>
            <w:rFonts w:cs="Calibri"/>
            <w:color w:val="1976D2"/>
            <w:szCs w:val="27"/>
          </w:rPr>
          <w:t>Priloha_k_pripomince_lokalita_505_a_928.docx</w:t>
        </w:r>
      </w:hyperlink>
      <w:r w:rsidR="00A72498" w:rsidRPr="00E67C1A">
        <w:rPr>
          <w:szCs w:val="27"/>
        </w:rPr>
        <w:t> (0.3MB)</w:t>
      </w:r>
    </w:p>
    <w:p w:rsidR="00A72498" w:rsidRPr="00E67C1A" w:rsidRDefault="00A72498" w:rsidP="00A72498">
      <w:pPr>
        <w:jc w:val="both"/>
        <w:rPr>
          <w:noProof/>
        </w:rPr>
      </w:pPr>
      <w:r w:rsidRPr="00E67C1A">
        <w:rPr>
          <w:noProof/>
        </w:rPr>
        <w:drawing>
          <wp:inline distT="0" distB="0" distL="0" distR="0">
            <wp:extent cx="5753100" cy="55911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98" w:rsidRPr="00E67C1A" w:rsidRDefault="00A72498" w:rsidP="00A72498">
      <w:r w:rsidRPr="00E67C1A">
        <w:rPr>
          <w:noProof/>
        </w:rPr>
        <w:lastRenderedPageBreak/>
        <w:drawing>
          <wp:inline distT="0" distB="0" distL="0" distR="0">
            <wp:extent cx="3810000" cy="16859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98" w:rsidRDefault="00A72498" w:rsidP="00A72498">
      <w:pPr>
        <w:rPr>
          <w:szCs w:val="22"/>
        </w:rPr>
      </w:pPr>
    </w:p>
    <w:p w:rsidR="00A75862" w:rsidRDefault="00A72498" w:rsidP="00A75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</w:pPr>
      <w:r w:rsidRPr="005B49C7">
        <w:rPr>
          <w:szCs w:val="22"/>
          <w:lang w:eastAsia="en-US"/>
        </w:rPr>
        <w:t xml:space="preserve">Výbor pro dopravu a životní prostředí přijal k tomuto bodu usnesení č. 10/VDŽP/06/22 v následujícím znění:  </w:t>
      </w:r>
      <w:r w:rsidRPr="005B49C7">
        <w:t xml:space="preserve">VDŽP doporučuje ZMČ Praha 18 podat tuto připomínku jako zásadní. </w:t>
      </w:r>
    </w:p>
    <w:p w:rsidR="00A72498" w:rsidRDefault="00A72498" w:rsidP="00A75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snapToGrid w:val="0"/>
        </w:rPr>
      </w:pPr>
      <w:r w:rsidRPr="005B49C7">
        <w:t>(h</w:t>
      </w:r>
      <w:r w:rsidRPr="005B49C7">
        <w:rPr>
          <w:snapToGrid w:val="0"/>
        </w:rPr>
        <w:t>lasování:</w:t>
      </w:r>
      <w:r w:rsidRPr="005B49C7">
        <w:rPr>
          <w:snapToGrid w:val="0"/>
        </w:rPr>
        <w:tab/>
        <w:t>pro  6</w:t>
      </w:r>
      <w:r w:rsidRPr="005B49C7">
        <w:rPr>
          <w:snapToGrid w:val="0"/>
        </w:rPr>
        <w:tab/>
      </w:r>
      <w:r w:rsidRPr="005B49C7">
        <w:rPr>
          <w:snapToGrid w:val="0"/>
        </w:rPr>
        <w:tab/>
        <w:t>proti     0</w:t>
      </w:r>
      <w:r w:rsidRPr="005B49C7">
        <w:rPr>
          <w:snapToGrid w:val="0"/>
        </w:rPr>
        <w:tab/>
        <w:t xml:space="preserve">zdržel </w:t>
      </w:r>
      <w:proofErr w:type="gramStart"/>
      <w:r w:rsidRPr="005B49C7">
        <w:rPr>
          <w:snapToGrid w:val="0"/>
        </w:rPr>
        <w:t>se   1</w:t>
      </w:r>
      <w:proofErr w:type="gramEnd"/>
    </w:p>
    <w:p w:rsidR="00A75862" w:rsidRDefault="00A75862" w:rsidP="00A72498">
      <w:pPr>
        <w:rPr>
          <w:snapToGrid w:val="0"/>
        </w:rPr>
      </w:pPr>
    </w:p>
    <w:p w:rsidR="00A72498" w:rsidRPr="00FD2318" w:rsidRDefault="00A72498" w:rsidP="00A72498">
      <w:pPr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718"/>
        <w:gridCol w:w="743"/>
        <w:gridCol w:w="889"/>
        <w:gridCol w:w="759"/>
        <w:gridCol w:w="839"/>
        <w:gridCol w:w="1066"/>
        <w:gridCol w:w="752"/>
        <w:gridCol w:w="850"/>
        <w:gridCol w:w="641"/>
        <w:gridCol w:w="931"/>
      </w:tblGrid>
      <w:tr w:rsidR="00A72498" w:rsidRPr="007200CB" w:rsidTr="00FD0677">
        <w:tc>
          <w:tcPr>
            <w:tcW w:w="12328" w:type="dxa"/>
            <w:gridSpan w:val="10"/>
            <w:shd w:val="clear" w:color="auto" w:fill="FFFFCC"/>
          </w:tcPr>
          <w:p w:rsidR="00A72498" w:rsidRPr="000C2686" w:rsidRDefault="00A72498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1.4 Zásadní připomínka ke grafické části (výkresům) – Letňany západ</w:t>
            </w:r>
          </w:p>
        </w:tc>
        <w:tc>
          <w:tcPr>
            <w:tcW w:w="1664" w:type="dxa"/>
            <w:shd w:val="clear" w:color="auto" w:fill="FFFFCC"/>
          </w:tcPr>
          <w:p w:rsidR="00A72498" w:rsidRPr="000C2686" w:rsidRDefault="00A72498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Hlasů celkem</w:t>
            </w:r>
          </w:p>
        </w:tc>
      </w:tr>
      <w:tr w:rsidR="00A72498" w:rsidRPr="000C2686" w:rsidTr="00FD0677">
        <w:tc>
          <w:tcPr>
            <w:tcW w:w="1305" w:type="dxa"/>
            <w:shd w:val="clear" w:color="auto" w:fill="auto"/>
          </w:tcPr>
          <w:p w:rsidR="00A72498" w:rsidRPr="000C2686" w:rsidRDefault="00A72498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jméno</w:t>
            </w:r>
          </w:p>
        </w:tc>
        <w:tc>
          <w:tcPr>
            <w:tcW w:w="122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Bušek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Mašek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Deutsch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Staněk</w:t>
            </w:r>
          </w:p>
        </w:tc>
        <w:tc>
          <w:tcPr>
            <w:tcW w:w="122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Türkott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Tomaševič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Hanus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Mourek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Tikal</w:t>
            </w:r>
          </w:p>
        </w:tc>
        <w:tc>
          <w:tcPr>
            <w:tcW w:w="166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A72498" w:rsidRPr="000C2686" w:rsidTr="00FD0677">
        <w:tc>
          <w:tcPr>
            <w:tcW w:w="1305" w:type="dxa"/>
            <w:shd w:val="clear" w:color="auto" w:fill="auto"/>
          </w:tcPr>
          <w:p w:rsidR="00A72498" w:rsidRPr="000C2686" w:rsidRDefault="00A72498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souhlasím</w:t>
            </w:r>
          </w:p>
        </w:tc>
        <w:tc>
          <w:tcPr>
            <w:tcW w:w="122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5</w:t>
            </w:r>
          </w:p>
        </w:tc>
      </w:tr>
      <w:tr w:rsidR="00A72498" w:rsidRPr="000C2686" w:rsidTr="00FD0677">
        <w:tc>
          <w:tcPr>
            <w:tcW w:w="1305" w:type="dxa"/>
            <w:shd w:val="clear" w:color="auto" w:fill="auto"/>
          </w:tcPr>
          <w:p w:rsidR="00A72498" w:rsidRPr="000C2686" w:rsidRDefault="00A72498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nesouhlasím</w:t>
            </w:r>
          </w:p>
        </w:tc>
        <w:tc>
          <w:tcPr>
            <w:tcW w:w="122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2</w:t>
            </w:r>
          </w:p>
        </w:tc>
      </w:tr>
      <w:tr w:rsidR="00A72498" w:rsidRPr="000C2686" w:rsidTr="00FD0677">
        <w:tc>
          <w:tcPr>
            <w:tcW w:w="1305" w:type="dxa"/>
            <w:shd w:val="clear" w:color="auto" w:fill="auto"/>
          </w:tcPr>
          <w:p w:rsidR="00A72498" w:rsidRPr="000C2686" w:rsidRDefault="00A72498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zdržuji se</w:t>
            </w:r>
          </w:p>
        </w:tc>
        <w:tc>
          <w:tcPr>
            <w:tcW w:w="122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A72498" w:rsidRPr="000C2686" w:rsidRDefault="00A72498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1</w:t>
            </w:r>
          </w:p>
        </w:tc>
      </w:tr>
    </w:tbl>
    <w:p w:rsidR="00A72498" w:rsidRDefault="00A72498" w:rsidP="00A72498">
      <w:pPr>
        <w:rPr>
          <w:szCs w:val="22"/>
        </w:rPr>
      </w:pPr>
    </w:p>
    <w:p w:rsidR="00A72498" w:rsidRPr="00803A52" w:rsidRDefault="00A72498" w:rsidP="00A72498">
      <w:pPr>
        <w:rPr>
          <w:b/>
          <w:szCs w:val="22"/>
        </w:rPr>
      </w:pPr>
      <w:r w:rsidRPr="00803A52">
        <w:rPr>
          <w:b/>
          <w:szCs w:val="22"/>
        </w:rPr>
        <w:t xml:space="preserve">Usnesení </w:t>
      </w:r>
      <w:r>
        <w:rPr>
          <w:b/>
          <w:szCs w:val="22"/>
        </w:rPr>
        <w:t>04</w:t>
      </w:r>
      <w:r w:rsidRPr="00803A52">
        <w:rPr>
          <w:b/>
          <w:szCs w:val="22"/>
        </w:rPr>
        <w:t>/VÚRP06/22:</w:t>
      </w:r>
    </w:p>
    <w:p w:rsidR="00A75862" w:rsidRDefault="00A75862" w:rsidP="00A72498">
      <w:pPr>
        <w:rPr>
          <w:b/>
          <w:szCs w:val="22"/>
        </w:rPr>
      </w:pPr>
    </w:p>
    <w:p w:rsidR="00A72498" w:rsidRPr="00803A52" w:rsidRDefault="00A72498" w:rsidP="00A75862">
      <w:pPr>
        <w:jc w:val="both"/>
        <w:rPr>
          <w:b/>
          <w:szCs w:val="28"/>
        </w:rPr>
      </w:pPr>
      <w:r w:rsidRPr="00803A52">
        <w:rPr>
          <w:b/>
          <w:szCs w:val="22"/>
        </w:rPr>
        <w:t xml:space="preserve">Projednání návrhu Územního plánu hl. m. Prahy (Metropolitního plánu) – stanoviska, připomínky, námitky - </w:t>
      </w:r>
      <w:r w:rsidRPr="00803A52">
        <w:rPr>
          <w:b/>
        </w:rPr>
        <w:t>505 / Sídliště Letňany 928 / Ďáblice – Třeboradice - Městská část Praha 18 požaduje zohlednit probíhající změnu územního plánu Z 3036/10.</w:t>
      </w:r>
    </w:p>
    <w:p w:rsidR="00A72498" w:rsidRPr="00E67C1A" w:rsidRDefault="00A72498" w:rsidP="00A72498">
      <w:pPr>
        <w:numPr>
          <w:ilvl w:val="0"/>
          <w:numId w:val="1"/>
        </w:numPr>
        <w:spacing w:before="120"/>
        <w:ind w:left="284" w:hanging="284"/>
        <w:jc w:val="both"/>
        <w:rPr>
          <w:szCs w:val="22"/>
        </w:rPr>
      </w:pPr>
      <w:r w:rsidRPr="00E67C1A">
        <w:rPr>
          <w:szCs w:val="22"/>
        </w:rPr>
        <w:t>Výbor pro územní rozvoj a plánování doporučuje ZMČ Praha 18 podat tuto připomínku jako zásadní.</w:t>
      </w:r>
    </w:p>
    <w:p w:rsidR="00A72498" w:rsidRPr="00E67C1A" w:rsidRDefault="00A72498" w:rsidP="00A72498">
      <w:pPr>
        <w:numPr>
          <w:ilvl w:val="0"/>
          <w:numId w:val="1"/>
        </w:numPr>
        <w:spacing w:before="120"/>
        <w:ind w:left="284" w:hanging="284"/>
        <w:jc w:val="both"/>
        <w:rPr>
          <w:szCs w:val="22"/>
        </w:rPr>
      </w:pPr>
      <w:r w:rsidRPr="00E67C1A">
        <w:rPr>
          <w:szCs w:val="22"/>
        </w:rPr>
        <w:t>Výbor pro územní rozvoj a plánování ukládá předsedovi VÚ</w:t>
      </w:r>
      <w:r>
        <w:rPr>
          <w:szCs w:val="22"/>
        </w:rPr>
        <w:t>RP předložit toto stanovisko MČ </w:t>
      </w:r>
      <w:r w:rsidRPr="00E67C1A">
        <w:rPr>
          <w:szCs w:val="22"/>
        </w:rPr>
        <w:t>Praha 18.</w:t>
      </w:r>
    </w:p>
    <w:p w:rsidR="00A72498" w:rsidRPr="00E67C1A" w:rsidRDefault="00A72498" w:rsidP="00A72498">
      <w:pPr>
        <w:rPr>
          <w:szCs w:val="22"/>
        </w:rPr>
      </w:pPr>
    </w:p>
    <w:p w:rsidR="00A72498" w:rsidRPr="00E67C1A" w:rsidRDefault="00A72498" w:rsidP="00A72498">
      <w:pPr>
        <w:rPr>
          <w:snapToGrid w:val="0"/>
          <w:szCs w:val="22"/>
        </w:rPr>
      </w:pPr>
      <w:r w:rsidRPr="00803A52">
        <w:rPr>
          <w:b/>
          <w:snapToGrid w:val="0"/>
          <w:szCs w:val="22"/>
        </w:rPr>
        <w:t>Hlasování:</w:t>
      </w:r>
      <w:r w:rsidRPr="00E67C1A">
        <w:rPr>
          <w:snapToGrid w:val="0"/>
          <w:szCs w:val="22"/>
        </w:rPr>
        <w:tab/>
        <w:t xml:space="preserve">pro  </w:t>
      </w:r>
      <w:r>
        <w:rPr>
          <w:snapToGrid w:val="0"/>
          <w:szCs w:val="22"/>
        </w:rPr>
        <w:t>5</w:t>
      </w:r>
      <w:r w:rsidRPr="00E67C1A">
        <w:rPr>
          <w:snapToGrid w:val="0"/>
          <w:szCs w:val="22"/>
        </w:rPr>
        <w:tab/>
      </w:r>
      <w:r w:rsidRPr="00E67C1A">
        <w:rPr>
          <w:snapToGrid w:val="0"/>
          <w:szCs w:val="22"/>
        </w:rPr>
        <w:tab/>
        <w:t xml:space="preserve">proti   </w:t>
      </w:r>
      <w:r>
        <w:rPr>
          <w:snapToGrid w:val="0"/>
          <w:szCs w:val="22"/>
        </w:rPr>
        <w:t>2</w:t>
      </w:r>
      <w:r>
        <w:rPr>
          <w:snapToGrid w:val="0"/>
          <w:szCs w:val="22"/>
        </w:rPr>
        <w:tab/>
      </w:r>
      <w:r w:rsidRPr="00E67C1A">
        <w:rPr>
          <w:snapToGrid w:val="0"/>
          <w:szCs w:val="22"/>
        </w:rPr>
        <w:tab/>
        <w:t xml:space="preserve">zdržel </w:t>
      </w:r>
      <w:proofErr w:type="gramStart"/>
      <w:r w:rsidRPr="00E67C1A">
        <w:rPr>
          <w:snapToGrid w:val="0"/>
          <w:szCs w:val="22"/>
        </w:rPr>
        <w:t xml:space="preserve">se   </w:t>
      </w:r>
      <w:r>
        <w:rPr>
          <w:snapToGrid w:val="0"/>
          <w:szCs w:val="22"/>
        </w:rPr>
        <w:t>1</w:t>
      </w:r>
      <w:proofErr w:type="gramEnd"/>
    </w:p>
    <w:p w:rsidR="00A75862" w:rsidRDefault="00A75862" w:rsidP="00A72498">
      <w:pPr>
        <w:rPr>
          <w:b/>
          <w:snapToGrid w:val="0"/>
          <w:szCs w:val="22"/>
        </w:rPr>
      </w:pPr>
    </w:p>
    <w:p w:rsidR="00A72498" w:rsidRPr="002A2C91" w:rsidRDefault="00A72498" w:rsidP="00A72498">
      <w:pPr>
        <w:rPr>
          <w:b/>
          <w:snapToGrid w:val="0"/>
          <w:szCs w:val="22"/>
        </w:rPr>
      </w:pPr>
      <w:bookmarkStart w:id="78" w:name="_GoBack"/>
      <w:bookmarkEnd w:id="78"/>
      <w:r w:rsidRPr="002A2C91">
        <w:rPr>
          <w:b/>
          <w:snapToGrid w:val="0"/>
          <w:szCs w:val="22"/>
        </w:rPr>
        <w:t>Usnesení bylo přijato.</w:t>
      </w:r>
    </w:p>
    <w:p w:rsidR="00A72498" w:rsidRDefault="00A72498" w:rsidP="00A72498">
      <w:pPr>
        <w:rPr>
          <w:szCs w:val="22"/>
        </w:rPr>
      </w:pPr>
    </w:p>
    <w:p w:rsidR="00AC38A6" w:rsidRDefault="00AC38A6"/>
    <w:sectPr w:rsidR="00AC38A6" w:rsidSect="00A75862">
      <w:footerReference w:type="default" r:id="rId12"/>
      <w:headerReference w:type="first" r:id="rId13"/>
      <w:footerReference w:type="first" r:id="rId14"/>
      <w:pgSz w:w="11906" w:h="16838"/>
      <w:pgMar w:top="851" w:right="1247" w:bottom="851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C2" w:rsidRDefault="009633C2">
      <w:r>
        <w:separator/>
      </w:r>
    </w:p>
  </w:endnote>
  <w:endnote w:type="continuationSeparator" w:id="0">
    <w:p w:rsidR="009633C2" w:rsidRDefault="0096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A4" w:rsidRDefault="00A72498" w:rsidP="00B839A4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15.06.2022</w:t>
    </w:r>
    <w:proofErr w:type="gramEnd"/>
    <w:r>
      <w:rPr>
        <w:i/>
        <w:sz w:val="20"/>
      </w:rPr>
      <w:t>, hlasování per rollam 21.06.2022</w:t>
    </w:r>
  </w:p>
  <w:p w:rsidR="00770889" w:rsidRDefault="009633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A72498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C2" w:rsidRDefault="009633C2">
      <w:r>
        <w:separator/>
      </w:r>
    </w:p>
  </w:footnote>
  <w:footnote w:type="continuationSeparator" w:id="0">
    <w:p w:rsidR="009633C2" w:rsidRDefault="00963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A72498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A72498" w:rsidP="000B565E">
    <w:pPr>
      <w:pStyle w:val="Zhlav"/>
      <w:jc w:val="right"/>
    </w:pPr>
    <w:r w:rsidRPr="00E7643B">
      <w:t>MC18 999/2019 OVÚR</w:t>
    </w:r>
  </w:p>
  <w:p w:rsidR="00770889" w:rsidRDefault="009633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D6FA6"/>
    <w:multiLevelType w:val="hybridMultilevel"/>
    <w:tmpl w:val="DFFC7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98"/>
    <w:rsid w:val="009633C2"/>
    <w:rsid w:val="00A72498"/>
    <w:rsid w:val="00A75862"/>
    <w:rsid w:val="00A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32773-3B43-41CF-ABBB-7804B65E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498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A72498"/>
    <w:pPr>
      <w:keepNext/>
      <w:ind w:left="788" w:hanging="788"/>
      <w:jc w:val="both"/>
      <w:outlineLvl w:val="1"/>
    </w:pPr>
    <w:rPr>
      <w:b/>
      <w:bCs/>
      <w:iCs/>
      <w:sz w:val="24"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2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72498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A75862"/>
    <w:pPr>
      <w:spacing w:before="120" w:after="120"/>
      <w:jc w:val="center"/>
    </w:pPr>
    <w:rPr>
      <w:b/>
      <w:bCs/>
      <w:kern w:val="28"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75862"/>
    <w:rPr>
      <w:rFonts w:ascii="Garamond" w:eastAsia="Times New Roman" w:hAnsi="Garamond" w:cs="Times New Roman"/>
      <w:b/>
      <w:bCs/>
      <w:kern w:val="28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A724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2498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72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2498"/>
    <w:rPr>
      <w:rFonts w:ascii="Garamond" w:eastAsia="Times New Roman" w:hAnsi="Garamond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249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uiPriority w:val="99"/>
    <w:rsid w:val="00A72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pmpp.praha.eu/fe/file/37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2</cp:revision>
  <dcterms:created xsi:type="dcterms:W3CDTF">2022-06-21T08:34:00Z</dcterms:created>
  <dcterms:modified xsi:type="dcterms:W3CDTF">2022-06-21T10:24:00Z</dcterms:modified>
</cp:coreProperties>
</file>