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FE" w:rsidRDefault="00EF7DFE" w:rsidP="00CF256F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514475"/>
                <wp:effectExtent l="0" t="0" r="0" b="952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DFE" w:rsidRPr="005D577C" w:rsidRDefault="00EF7DFE" w:rsidP="00CF256F">
                            <w:pPr>
                              <w:pStyle w:val="Nzev"/>
                              <w:rPr>
                                <w:sz w:val="28"/>
                              </w:rPr>
                            </w:pPr>
                            <w:r w:rsidRPr="005D577C">
                              <w:rPr>
                                <w:sz w:val="28"/>
                              </w:rPr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EF7DFE" w:rsidRPr="005D577C" w:rsidRDefault="00EF7DFE" w:rsidP="00CF256F">
                            <w:pPr>
                              <w:pStyle w:val="Nzev"/>
                              <w:rPr>
                                <w:sz w:val="28"/>
                              </w:rPr>
                            </w:pPr>
                            <w:r w:rsidRPr="005D577C">
                              <w:rPr>
                                <w:sz w:val="28"/>
                              </w:rPr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5D577C">
                              <w:rPr>
                                <w:sz w:val="28"/>
                              </w:rPr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5D577C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EF7DFE" w:rsidRPr="005D577C" w:rsidRDefault="00EF7DFE" w:rsidP="00CF256F">
                            <w:pPr>
                              <w:pStyle w:val="Nzev"/>
                              <w:rPr>
                                <w:sz w:val="24"/>
                              </w:rPr>
                            </w:pPr>
                            <w:r w:rsidRPr="005D577C">
                              <w:rPr>
                                <w:sz w:val="24"/>
                              </w:rPr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EF7DFE" w:rsidRPr="005D577C" w:rsidRDefault="00EF7DFE" w:rsidP="00CF256F">
                            <w:pPr>
                              <w:pStyle w:val="Nzev"/>
                              <w:rPr>
                                <w:sz w:val="24"/>
                              </w:rPr>
                            </w:pPr>
                            <w:r w:rsidRPr="005D577C">
                              <w:rPr>
                                <w:sz w:val="24"/>
                              </w:rPr>
                              <w:t>31. května 2022</w:t>
                            </w:r>
                          </w:p>
                          <w:p w:rsidR="00EF7DFE" w:rsidRPr="005D577C" w:rsidRDefault="00EF7DFE" w:rsidP="00CF256F">
                            <w:pPr>
                              <w:pStyle w:val="Nzev"/>
                              <w:rPr>
                                <w:sz w:val="24"/>
                              </w:rPr>
                            </w:pPr>
                            <w:r w:rsidRPr="005D577C">
                              <w:rPr>
                                <w:sz w:val="24"/>
                              </w:rPr>
                              <w:t>(výpis usnesení</w:t>
                            </w:r>
                            <w:r w:rsidR="00CF256F" w:rsidRPr="005D577C">
                              <w:rPr>
                                <w:sz w:val="24"/>
                              </w:rPr>
                              <w:t xml:space="preserve"> č.</w:t>
                            </w:r>
                            <w:r w:rsidR="00CF256F" w:rsidRPr="005D577C">
                              <w:rPr>
                                <w:sz w:val="24"/>
                                <w:szCs w:val="22"/>
                              </w:rPr>
                              <w:t xml:space="preserve"> 02/VÚRP05/22</w:t>
                            </w:r>
                            <w:r w:rsidRPr="005D577C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EF7DFE" w:rsidRDefault="00EF7DFE" w:rsidP="00EF7D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19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T9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" stroked="f">
                <v:textbox>
                  <w:txbxContent>
                    <w:p w:rsidR="00EF7DFE" w:rsidRPr="005D577C" w:rsidRDefault="00EF7DFE" w:rsidP="00CF256F">
                      <w:pPr>
                        <w:pStyle w:val="Nzev"/>
                        <w:rPr>
                          <w:sz w:val="28"/>
                        </w:rPr>
                      </w:pPr>
                      <w:r w:rsidRPr="005D577C">
                        <w:rPr>
                          <w:sz w:val="28"/>
                        </w:rPr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EF7DFE" w:rsidRPr="005D577C" w:rsidRDefault="00EF7DFE" w:rsidP="00CF256F">
                      <w:pPr>
                        <w:pStyle w:val="Nzev"/>
                        <w:rPr>
                          <w:sz w:val="28"/>
                        </w:rPr>
                      </w:pPr>
                      <w:r w:rsidRPr="005D577C">
                        <w:rPr>
                          <w:sz w:val="28"/>
                        </w:rPr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5D577C">
                        <w:rPr>
                          <w:sz w:val="28"/>
                        </w:rPr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5D577C">
                        <w:rPr>
                          <w:sz w:val="28"/>
                        </w:rPr>
                        <w:t xml:space="preserve"> </w:t>
                      </w:r>
                    </w:p>
                    <w:p w:rsidR="00EF7DFE" w:rsidRPr="005D577C" w:rsidRDefault="00EF7DFE" w:rsidP="00CF256F">
                      <w:pPr>
                        <w:pStyle w:val="Nzev"/>
                        <w:rPr>
                          <w:sz w:val="24"/>
                        </w:rPr>
                      </w:pPr>
                      <w:r w:rsidRPr="005D577C">
                        <w:rPr>
                          <w:sz w:val="24"/>
                        </w:rPr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EF7DFE" w:rsidRPr="005D577C" w:rsidRDefault="00EF7DFE" w:rsidP="00CF256F">
                      <w:pPr>
                        <w:pStyle w:val="Nzev"/>
                        <w:rPr>
                          <w:sz w:val="24"/>
                        </w:rPr>
                      </w:pPr>
                      <w:r w:rsidRPr="005D577C">
                        <w:rPr>
                          <w:sz w:val="24"/>
                        </w:rPr>
                        <w:t>31. května 2022</w:t>
                      </w:r>
                    </w:p>
                    <w:p w:rsidR="00EF7DFE" w:rsidRPr="005D577C" w:rsidRDefault="00EF7DFE" w:rsidP="00CF256F">
                      <w:pPr>
                        <w:pStyle w:val="Nzev"/>
                        <w:rPr>
                          <w:sz w:val="24"/>
                        </w:rPr>
                      </w:pPr>
                      <w:r w:rsidRPr="005D577C">
                        <w:rPr>
                          <w:sz w:val="24"/>
                        </w:rPr>
                        <w:t>(výpis usnesení</w:t>
                      </w:r>
                      <w:r w:rsidR="00CF256F" w:rsidRPr="005D577C">
                        <w:rPr>
                          <w:sz w:val="24"/>
                        </w:rPr>
                        <w:t xml:space="preserve"> č.</w:t>
                      </w:r>
                      <w:r w:rsidR="00CF256F" w:rsidRPr="005D577C">
                        <w:rPr>
                          <w:sz w:val="24"/>
                          <w:szCs w:val="22"/>
                        </w:rPr>
                        <w:t xml:space="preserve"> 02/VÚRP05/22</w:t>
                      </w:r>
                      <w:r w:rsidRPr="005D577C">
                        <w:rPr>
                          <w:sz w:val="24"/>
                        </w:rPr>
                        <w:t>)</w:t>
                      </w:r>
                    </w:p>
                    <w:p w:rsidR="00EF7DFE" w:rsidRDefault="00EF7DFE" w:rsidP="00EF7DFE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DFE" w:rsidRPr="0029706D" w:rsidRDefault="00EF7DFE" w:rsidP="00CF256F">
      <w:pPr>
        <w:pStyle w:val="Nzev"/>
      </w:pPr>
    </w:p>
    <w:p w:rsidR="00EF7DFE" w:rsidRDefault="00EF7DFE" w:rsidP="00EF7DFE">
      <w:pPr>
        <w:pStyle w:val="Nadpis2"/>
      </w:pPr>
      <w:bookmarkStart w:id="74" w:name="_Toc93552058"/>
    </w:p>
    <w:p w:rsidR="00EF7DFE" w:rsidRDefault="00EF7DFE" w:rsidP="00EF7DFE">
      <w:pPr>
        <w:pStyle w:val="Nadpis2"/>
      </w:pPr>
    </w:p>
    <w:p w:rsidR="00EF7DFE" w:rsidRDefault="00EF7DFE" w:rsidP="00EF7DFE">
      <w:pPr>
        <w:pStyle w:val="Nadpis2"/>
      </w:pPr>
    </w:p>
    <w:p w:rsidR="00EF7DFE" w:rsidRDefault="00EF7DFE" w:rsidP="00EF7DFE">
      <w:pPr>
        <w:pStyle w:val="Nadpis2"/>
      </w:pPr>
      <w:r>
        <w:t>___________________________________________________________________________</w:t>
      </w:r>
    </w:p>
    <w:p w:rsidR="00EF7DFE" w:rsidRDefault="00EF7DFE" w:rsidP="00EF7DFE">
      <w:pPr>
        <w:pStyle w:val="Nadpis2"/>
        <w:spacing w:before="120"/>
        <w:ind w:left="284" w:hanging="284"/>
      </w:pPr>
      <w:bookmarkStart w:id="75" w:name="_GoBack"/>
      <w:bookmarkEnd w:id="74"/>
      <w:bookmarkEnd w:id="75"/>
      <w:r w:rsidRPr="00E67C1A">
        <w:t>Zásadní připomínka ke grafické části (výkresům)</w:t>
      </w:r>
      <w:r>
        <w:t xml:space="preserve"> - </w:t>
      </w:r>
      <w:r w:rsidRPr="00EF7DFE">
        <w:t>VPS 910-610</w:t>
      </w:r>
      <w:r>
        <w:t>/</w:t>
      </w:r>
      <w:r w:rsidRPr="00EF7DFE">
        <w:t>-</w:t>
      </w:r>
      <w:r>
        <w:t>/</w:t>
      </w:r>
      <w:r w:rsidRPr="00EF7DFE">
        <w:t>46 a VPS 910-610</w:t>
      </w:r>
      <w:r>
        <w:t>/</w:t>
      </w:r>
      <w:r w:rsidRPr="00EF7DFE">
        <w:t>-</w:t>
      </w:r>
      <w:r>
        <w:t>/</w:t>
      </w:r>
      <w:r w:rsidRPr="00EF7DFE">
        <w:t>36_rozvojová plocha 413</w:t>
      </w:r>
      <w:r>
        <w:t>/</w:t>
      </w:r>
      <w:r w:rsidRPr="00EF7DFE">
        <w:t>600</w:t>
      </w:r>
      <w:r>
        <w:t>/</w:t>
      </w:r>
      <w:r w:rsidRPr="00EF7DFE">
        <w:t>2369</w:t>
      </w:r>
      <w:r>
        <w:t xml:space="preserve"> – kolize s již vydanými rozhodnutími</w:t>
      </w:r>
    </w:p>
    <w:p w:rsidR="00EF7DFE" w:rsidRPr="00EF7DFE" w:rsidRDefault="00EF7DFE" w:rsidP="00EF7DFE"/>
    <w:p w:rsidR="00EF7DFE" w:rsidRPr="00E67C1A" w:rsidRDefault="00EF7DFE" w:rsidP="00EF7DFE">
      <w:pPr>
        <w:rPr>
          <w:rFonts w:cs="Calibri"/>
          <w:color w:val="000000"/>
        </w:rPr>
      </w:pPr>
      <w:r w:rsidRPr="00E67C1A">
        <w:rPr>
          <w:rFonts w:cs="Calibri"/>
          <w:noProof/>
          <w:color w:val="000000"/>
        </w:rPr>
        <w:drawing>
          <wp:inline distT="0" distB="0" distL="0" distR="0">
            <wp:extent cx="3505200" cy="172400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59" cy="17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1A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Obdélník 8" descr="Náhled vybraných částí ma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C4BBF" id="Obdélník 8" o:spid="_x0000_s1026" alt="Náhled vybraných částí map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r7XVXhAgAA4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EF7DFE" w:rsidRDefault="00EF7DFE" w:rsidP="00EF7DFE">
      <w:pPr>
        <w:outlineLvl w:val="2"/>
        <w:rPr>
          <w:rFonts w:cs="Calibri"/>
          <w:b/>
          <w:bCs/>
          <w:color w:val="000000"/>
        </w:rPr>
      </w:pPr>
    </w:p>
    <w:p w:rsidR="00EF7DFE" w:rsidRPr="00E67C1A" w:rsidRDefault="00EF7DFE" w:rsidP="00EF7DFE">
      <w:pPr>
        <w:outlineLvl w:val="2"/>
        <w:rPr>
          <w:rFonts w:cs="Calibri"/>
          <w:b/>
          <w:bCs/>
          <w:color w:val="000000"/>
        </w:rPr>
      </w:pPr>
      <w:r w:rsidRPr="00E67C1A">
        <w:rPr>
          <w:rFonts w:cs="Calibri"/>
          <w:b/>
          <w:bCs/>
          <w:color w:val="000000"/>
        </w:rPr>
        <w:t>Text vyjádření</w:t>
      </w:r>
    </w:p>
    <w:p w:rsidR="00EF7DFE" w:rsidRPr="00E67C1A" w:rsidRDefault="00EF7DFE" w:rsidP="00EF7DFE">
      <w:pPr>
        <w:jc w:val="both"/>
        <w:rPr>
          <w:rFonts w:cs="Calibri"/>
          <w:color w:val="000000"/>
        </w:rPr>
      </w:pPr>
      <w:r w:rsidRPr="00E67C1A">
        <w:rPr>
          <w:rFonts w:cs="Calibri"/>
          <w:color w:val="000000"/>
        </w:rPr>
        <w:t>Předpokládáme, že účelem územního plánu, co se týká návrhů komunikací, by měla být především skutečná možnost komunikace tak, jak jsou v územním plánu zakreslené, realizovat. To ovšem neplatí v případě, kde VPS 910-610/-/46 má navazovat u ulice Toužimská na VPS 910-610/-/36. Komunikace je vedena přes pozemky 540/24 a 540/110, k. ú. Letňany (rozvojová plocha 413/600/2369), které však jsou zatížené pravomocným územním rozhodnutím a stavebními povoleními na stavbu nazvanou „Administrativní areál Toužimská“.</w:t>
      </w:r>
    </w:p>
    <w:p w:rsidR="00EF7DFE" w:rsidRPr="00E67C1A" w:rsidRDefault="00EF7DFE" w:rsidP="00EF7DFE">
      <w:pPr>
        <w:jc w:val="both"/>
        <w:outlineLvl w:val="2"/>
        <w:rPr>
          <w:rFonts w:cs="Calibri"/>
          <w:b/>
          <w:bCs/>
          <w:color w:val="000000"/>
        </w:rPr>
      </w:pPr>
      <w:r w:rsidRPr="00E67C1A">
        <w:rPr>
          <w:rFonts w:cs="Calibri"/>
          <w:b/>
          <w:bCs/>
          <w:color w:val="000000"/>
        </w:rPr>
        <w:t>Zdůvodnění</w:t>
      </w:r>
    </w:p>
    <w:p w:rsidR="00EF7DFE" w:rsidRPr="00E67C1A" w:rsidRDefault="00EF7DFE" w:rsidP="00EF7DFE">
      <w:pPr>
        <w:jc w:val="both"/>
        <w:rPr>
          <w:rFonts w:cs="Calibri"/>
          <w:color w:val="000000"/>
        </w:rPr>
      </w:pPr>
      <w:r w:rsidRPr="00E67C1A">
        <w:rPr>
          <w:rFonts w:cs="Calibri"/>
          <w:color w:val="000000"/>
        </w:rPr>
        <w:t>V současné době jsou vydaná povolení platná, nicméně stavba doposud nebyla zahájena, resp. stavba první etapy byla zahájena těsně před vyhlášením pandemie, proto dál nebylo se stavbou pokračováno. Nicméně byla povolena i druhá etapa a rozhodnutí jsou platná. Bez vypořádání</w:t>
      </w:r>
      <w:r>
        <w:rPr>
          <w:rFonts w:cs="Calibri"/>
          <w:color w:val="000000"/>
        </w:rPr>
        <w:t xml:space="preserve"> vlastnických vztahů, zejména s </w:t>
      </w:r>
      <w:r w:rsidRPr="00E67C1A">
        <w:rPr>
          <w:rFonts w:cs="Calibri"/>
          <w:color w:val="000000"/>
        </w:rPr>
        <w:t>ohledem na platná povolení, nebude možné komunikaci realizov</w:t>
      </w:r>
      <w:r>
        <w:rPr>
          <w:rFonts w:cs="Calibri"/>
          <w:color w:val="000000"/>
        </w:rPr>
        <w:t>at. Proto doporučujeme jednat s </w:t>
      </w:r>
      <w:r w:rsidRPr="00E67C1A">
        <w:rPr>
          <w:rFonts w:cs="Calibri"/>
          <w:color w:val="000000"/>
        </w:rPr>
        <w:t>vlastníkem pozemků o případné náhradě. V opačném případě je třeba trasu přepracovat.</w:t>
      </w:r>
    </w:p>
    <w:p w:rsidR="00EF7DFE" w:rsidRPr="00E67C1A" w:rsidRDefault="00EF7DFE" w:rsidP="00EF7DFE">
      <w:pPr>
        <w:outlineLvl w:val="2"/>
        <w:rPr>
          <w:rFonts w:cs="Calibri"/>
          <w:b/>
          <w:bCs/>
          <w:color w:val="000000"/>
        </w:rPr>
      </w:pPr>
      <w:r w:rsidRPr="00E67C1A">
        <w:rPr>
          <w:rFonts w:cs="Calibri"/>
          <w:b/>
          <w:bCs/>
          <w:color w:val="000000"/>
        </w:rPr>
        <w:t>Přílohy</w:t>
      </w:r>
    </w:p>
    <w:p w:rsidR="00EF7DFE" w:rsidRPr="00E67C1A" w:rsidRDefault="00EF7DFE" w:rsidP="00EF7DFE">
      <w:pPr>
        <w:rPr>
          <w:rFonts w:cs="Calibri"/>
        </w:rPr>
      </w:pPr>
      <w:r w:rsidRPr="00E67C1A">
        <w:rPr>
          <w:rFonts w:cs="Calibri"/>
          <w:noProof/>
        </w:rPr>
        <w:drawing>
          <wp:inline distT="0" distB="0" distL="0" distR="0">
            <wp:extent cx="2571750" cy="204247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31" cy="20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FE" w:rsidRPr="00E67C1A" w:rsidRDefault="00EF7DFE" w:rsidP="00EF7DFE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 w:rsidRPr="00E67C1A">
        <w:rPr>
          <w:rFonts w:cs="Calibri"/>
        </w:rPr>
        <w:br w:type="page"/>
      </w:r>
      <w:r w:rsidRPr="00E67C1A">
        <w:rPr>
          <w:b/>
          <w:szCs w:val="22"/>
        </w:rPr>
        <w:lastRenderedPageBreak/>
        <w:t>Usnesení 02/VÚRP05/22:</w:t>
      </w:r>
    </w:p>
    <w:p w:rsidR="00EF7DFE" w:rsidRPr="00E67C1A" w:rsidRDefault="00EF7DFE" w:rsidP="00EF7DFE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 w:rsidRPr="00E67C1A">
        <w:rPr>
          <w:b/>
          <w:szCs w:val="22"/>
        </w:rPr>
        <w:t xml:space="preserve">Projednání návrhu Územního plánu hl. m. Prahy (Metropolitního plánu) – stanoviska, připomínky, námitky - </w:t>
      </w:r>
      <w:r w:rsidRPr="00E67C1A">
        <w:rPr>
          <w:rFonts w:cs="Calibri"/>
        </w:rPr>
        <w:t xml:space="preserve">VPS 910-610/-/46 </w:t>
      </w:r>
      <w:r w:rsidRPr="00E67C1A">
        <w:rPr>
          <w:b/>
          <w:szCs w:val="22"/>
        </w:rPr>
        <w:t xml:space="preserve"> - </w:t>
      </w:r>
      <w:r w:rsidRPr="00E67C1A">
        <w:rPr>
          <w:rFonts w:cs="Calibri"/>
        </w:rPr>
        <w:t>rozvojová plocha 413/600/2369</w:t>
      </w:r>
    </w:p>
    <w:p w:rsidR="00EF7DFE" w:rsidRPr="00E67C1A" w:rsidRDefault="00EF7DFE" w:rsidP="00EF7DFE">
      <w:pPr>
        <w:pStyle w:val="Zkladnodstavec"/>
        <w:numPr>
          <w:ilvl w:val="0"/>
          <w:numId w:val="2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EF7DFE" w:rsidRPr="00E67C1A" w:rsidRDefault="00EF7DFE" w:rsidP="00EF7DFE">
      <w:pPr>
        <w:pStyle w:val="Zkladnodstavec"/>
        <w:numPr>
          <w:ilvl w:val="0"/>
          <w:numId w:val="2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EF7DFE" w:rsidRPr="00E67C1A" w:rsidRDefault="00EF7DFE" w:rsidP="00EF7DFE">
      <w:pPr>
        <w:pStyle w:val="Zkladnodstavec"/>
        <w:adjustRightInd/>
        <w:spacing w:line="276" w:lineRule="auto"/>
        <w:textAlignment w:val="auto"/>
        <w:rPr>
          <w:color w:val="auto"/>
          <w:szCs w:val="22"/>
          <w:highlight w:val="yellow"/>
        </w:rPr>
      </w:pPr>
    </w:p>
    <w:p w:rsidR="00EF7DFE" w:rsidRPr="00E67C1A" w:rsidRDefault="00EF7DFE" w:rsidP="00EF7DFE">
      <w:pPr>
        <w:pStyle w:val="Zkladnodstavec"/>
        <w:adjustRightInd/>
        <w:spacing w:line="276" w:lineRule="auto"/>
        <w:textAlignment w:val="auto"/>
        <w:rPr>
          <w:color w:val="auto"/>
          <w:szCs w:val="22"/>
          <w:highlight w:val="yellow"/>
        </w:rPr>
      </w:pPr>
    </w:p>
    <w:p w:rsidR="00EF7DFE" w:rsidRPr="00E67C1A" w:rsidRDefault="00EF7DFE" w:rsidP="00EF7DFE">
      <w:pPr>
        <w:spacing w:after="120"/>
        <w:rPr>
          <w:snapToGrid w:val="0"/>
          <w:color w:val="000000"/>
          <w:szCs w:val="22"/>
        </w:rPr>
      </w:pPr>
      <w:r w:rsidRPr="00E67C1A">
        <w:rPr>
          <w:b/>
          <w:bCs/>
          <w:snapToGrid w:val="0"/>
          <w:color w:val="000000"/>
          <w:szCs w:val="22"/>
        </w:rPr>
        <w:t>Hlasování:</w:t>
      </w:r>
      <w:r w:rsidRPr="00E67C1A">
        <w:rPr>
          <w:snapToGrid w:val="0"/>
          <w:color w:val="000000"/>
          <w:szCs w:val="22"/>
        </w:rPr>
        <w:tab/>
        <w:t>pro</w:t>
      </w:r>
      <w:r>
        <w:rPr>
          <w:snapToGrid w:val="0"/>
          <w:color w:val="000000"/>
          <w:szCs w:val="22"/>
        </w:rPr>
        <w:t xml:space="preserve">  </w:t>
      </w:r>
      <w:r w:rsidRPr="00E67C1A">
        <w:rPr>
          <w:snapToGrid w:val="0"/>
          <w:color w:val="000000"/>
          <w:szCs w:val="22"/>
        </w:rPr>
        <w:t xml:space="preserve"> 5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>proti   0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zdržel </w:t>
      </w:r>
      <w:proofErr w:type="gramStart"/>
      <w:r w:rsidRPr="00E67C1A">
        <w:rPr>
          <w:snapToGrid w:val="0"/>
          <w:color w:val="000000"/>
          <w:szCs w:val="22"/>
        </w:rPr>
        <w:t>se   0</w:t>
      </w:r>
      <w:proofErr w:type="gramEnd"/>
    </w:p>
    <w:p w:rsidR="00EF7DFE" w:rsidRPr="00E67C1A" w:rsidRDefault="00EF7DFE" w:rsidP="00EF7DFE">
      <w:pPr>
        <w:spacing w:after="120"/>
        <w:ind w:left="720" w:firstLine="698"/>
        <w:rPr>
          <w:b/>
          <w:snapToGrid w:val="0"/>
          <w:color w:val="000000"/>
          <w:szCs w:val="22"/>
        </w:rPr>
      </w:pPr>
      <w:r w:rsidRPr="00E67C1A">
        <w:rPr>
          <w:b/>
          <w:snapToGrid w:val="0"/>
          <w:color w:val="000000"/>
          <w:szCs w:val="22"/>
        </w:rPr>
        <w:t>Usnesení bylo přijato.</w:t>
      </w:r>
    </w:p>
    <w:p w:rsidR="00AC38A6" w:rsidRDefault="00AC38A6"/>
    <w:sectPr w:rsidR="00AC38A6" w:rsidSect="005D577C">
      <w:footerReference w:type="default" r:id="rId10"/>
      <w:headerReference w:type="first" r:id="rId11"/>
      <w:footerReference w:type="first" r:id="rId12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47" w:rsidRDefault="00C27E47">
      <w:r>
        <w:separator/>
      </w:r>
    </w:p>
  </w:endnote>
  <w:endnote w:type="continuationSeparator" w:id="0">
    <w:p w:rsidR="00C27E47" w:rsidRDefault="00C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514" w:rsidRDefault="00181514" w:rsidP="0018151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31.05.2022</w:t>
    </w:r>
    <w:proofErr w:type="gramEnd"/>
  </w:p>
  <w:p w:rsidR="00770889" w:rsidRDefault="00C27E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EF7DFE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47" w:rsidRDefault="00C27E47">
      <w:r>
        <w:separator/>
      </w:r>
    </w:p>
  </w:footnote>
  <w:footnote w:type="continuationSeparator" w:id="0">
    <w:p w:rsidR="00C27E47" w:rsidRDefault="00C2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EF7DFE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EF7DFE" w:rsidP="000B565E">
    <w:pPr>
      <w:pStyle w:val="Zhlav"/>
      <w:jc w:val="right"/>
    </w:pPr>
    <w:r w:rsidRPr="00E7643B">
      <w:t>MC18 999/2019 OVÚR</w:t>
    </w:r>
  </w:p>
  <w:p w:rsidR="00770889" w:rsidRDefault="00C27E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012FC"/>
    <w:multiLevelType w:val="multilevel"/>
    <w:tmpl w:val="003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17F08"/>
    <w:multiLevelType w:val="hybridMultilevel"/>
    <w:tmpl w:val="BAAA811A"/>
    <w:lvl w:ilvl="0" w:tplc="44E46E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FE"/>
    <w:rsid w:val="00181514"/>
    <w:rsid w:val="005D577C"/>
    <w:rsid w:val="00AC38A6"/>
    <w:rsid w:val="00B823A2"/>
    <w:rsid w:val="00C27E47"/>
    <w:rsid w:val="00CF256F"/>
    <w:rsid w:val="00D1627D"/>
    <w:rsid w:val="00E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F39B3-3A0C-4DE6-A77F-F4F047C6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DFE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EF7DFE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7DFE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CF256F"/>
    <w:pPr>
      <w:spacing w:before="120" w:after="120"/>
      <w:jc w:val="center"/>
    </w:pPr>
    <w:rPr>
      <w:b/>
      <w:bCs/>
      <w:kern w:val="28"/>
      <w:szCs w:val="20"/>
    </w:rPr>
  </w:style>
  <w:style w:type="character" w:customStyle="1" w:styleId="NzevChar">
    <w:name w:val="Název Char"/>
    <w:basedOn w:val="Standardnpsmoodstavce"/>
    <w:link w:val="Nzev"/>
    <w:rsid w:val="00CF256F"/>
    <w:rPr>
      <w:rFonts w:ascii="Garamond" w:eastAsia="Times New Roman" w:hAnsi="Garamond" w:cs="Times New Roman"/>
      <w:b/>
      <w:bCs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F7D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DFE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F7D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DFE"/>
    <w:rPr>
      <w:rFonts w:ascii="Garamond" w:eastAsia="Times New Roman" w:hAnsi="Garamond" w:cs="Times New Roman"/>
      <w:szCs w:val="24"/>
      <w:lang w:eastAsia="cs-CZ"/>
    </w:rPr>
  </w:style>
  <w:style w:type="paragraph" w:customStyle="1" w:styleId="Zkladnodstavec">
    <w:name w:val="[Základní odstavec]"/>
    <w:basedOn w:val="Normln"/>
    <w:rsid w:val="00EF7DFE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D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D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4</cp:revision>
  <dcterms:created xsi:type="dcterms:W3CDTF">2022-06-21T08:07:00Z</dcterms:created>
  <dcterms:modified xsi:type="dcterms:W3CDTF">2022-06-21T10:16:00Z</dcterms:modified>
</cp:coreProperties>
</file>