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CDB25" w14:textId="47A48265" w:rsidR="004C14D6" w:rsidRPr="00843616" w:rsidRDefault="0098139D" w:rsidP="00CA38B9">
      <w:pPr>
        <w:pStyle w:val="Zkladntext"/>
        <w:spacing w:after="360" w:line="264" w:lineRule="auto"/>
        <w:jc w:val="center"/>
        <w:rPr>
          <w:sz w:val="25"/>
          <w:szCs w:val="25"/>
        </w:rPr>
      </w:pPr>
      <w:bookmarkStart w:id="0" w:name="_Hlk8651605"/>
      <w:r w:rsidRPr="00843616">
        <w:rPr>
          <w:b/>
          <w:caps/>
        </w:rPr>
        <w:t xml:space="preserve">Smlouva o uzavření budoucí smlouvy </w:t>
      </w:r>
      <w:r w:rsidRPr="00843616">
        <w:rPr>
          <w:b/>
          <w:caps/>
        </w:rPr>
        <w:br/>
        <w:t>o dodávce tepelné energie</w:t>
      </w:r>
      <w:bookmarkEnd w:id="0"/>
      <w:r w:rsidR="001A6606" w:rsidRPr="00843616">
        <w:rPr>
          <w:b/>
          <w:caps/>
        </w:rPr>
        <w:br/>
      </w:r>
      <w:r w:rsidR="001A6606" w:rsidRPr="00843616">
        <w:rPr>
          <w:sz w:val="25"/>
          <w:szCs w:val="25"/>
        </w:rPr>
        <w:t>(dále jen „</w:t>
      </w:r>
      <w:r w:rsidR="001A6606" w:rsidRPr="00843616">
        <w:rPr>
          <w:b/>
          <w:sz w:val="25"/>
          <w:szCs w:val="25"/>
        </w:rPr>
        <w:t>Smlouva</w:t>
      </w:r>
      <w:r w:rsidR="001A6606" w:rsidRPr="00843616">
        <w:rPr>
          <w:sz w:val="25"/>
          <w:szCs w:val="25"/>
        </w:rPr>
        <w:t>“)</w:t>
      </w:r>
    </w:p>
    <w:p w14:paraId="3D201879" w14:textId="77777777" w:rsidR="004C14D6" w:rsidRPr="00843616" w:rsidRDefault="004C14D6" w:rsidP="00CA38B9">
      <w:pPr>
        <w:pStyle w:val="Zkladntext"/>
        <w:spacing w:line="264" w:lineRule="auto"/>
      </w:pPr>
      <w:r w:rsidRPr="00843616">
        <w:t>Smluvní strany:</w:t>
      </w:r>
    </w:p>
    <w:p w14:paraId="1357A184" w14:textId="72994830" w:rsidR="004C14D6" w:rsidRPr="00843616" w:rsidRDefault="00B13202" w:rsidP="00CA38B9">
      <w:pPr>
        <w:pStyle w:val="Parties"/>
        <w:spacing w:line="264" w:lineRule="auto"/>
      </w:pPr>
      <w:r w:rsidRPr="00843616">
        <w:rPr>
          <w:b/>
        </w:rPr>
        <w:t>Avia Energo, s.r.o.</w:t>
      </w:r>
      <w:r w:rsidRPr="00843616">
        <w:t>, IČO: 24694550, se sídlem Beranových 140, 199</w:t>
      </w:r>
      <w:r w:rsidR="0053553F" w:rsidRPr="00843616">
        <w:t> </w:t>
      </w:r>
      <w:r w:rsidRPr="00843616">
        <w:t xml:space="preserve">00 Praha 9 – </w:t>
      </w:r>
      <w:r w:rsidR="00833F51" w:rsidRPr="00843616">
        <w:t>Letňany</w:t>
      </w:r>
      <w:r w:rsidRPr="00843616">
        <w:t>, společnost zapsaná v obchodním rejstříku vedeném Městským soudem v Praze, v oddíle C, vložce 166692, zastoupená Ing. Janem Bučkem, prokuristou</w:t>
      </w:r>
    </w:p>
    <w:p w14:paraId="23DC0A57" w14:textId="2539034D" w:rsidR="004C14D6" w:rsidRPr="00843616" w:rsidRDefault="004C14D6" w:rsidP="00CA38B9">
      <w:pPr>
        <w:pStyle w:val="Zkladntext2"/>
        <w:spacing w:line="264" w:lineRule="auto"/>
      </w:pPr>
      <w:r w:rsidRPr="00843616">
        <w:t>(dále jen „</w:t>
      </w:r>
      <w:r w:rsidR="008104BC" w:rsidRPr="00843616">
        <w:rPr>
          <w:b/>
        </w:rPr>
        <w:t>D</w:t>
      </w:r>
      <w:r w:rsidR="00B93883" w:rsidRPr="00843616">
        <w:rPr>
          <w:b/>
        </w:rPr>
        <w:t>odavatel</w:t>
      </w:r>
      <w:r w:rsidRPr="00843616">
        <w:t>“)</w:t>
      </w:r>
    </w:p>
    <w:p w14:paraId="4B8566B9" w14:textId="77777777" w:rsidR="004C14D6" w:rsidRPr="00843616" w:rsidRDefault="004C14D6" w:rsidP="00CA38B9">
      <w:pPr>
        <w:pStyle w:val="Zkladntext"/>
        <w:spacing w:before="240" w:after="240" w:line="264" w:lineRule="auto"/>
      </w:pPr>
      <w:r w:rsidRPr="00843616">
        <w:t>a</w:t>
      </w:r>
    </w:p>
    <w:p w14:paraId="57C2AD1C" w14:textId="0893C7F0" w:rsidR="004C14D6" w:rsidRPr="00843616" w:rsidRDefault="0053553F" w:rsidP="00D53DCE">
      <w:pPr>
        <w:pStyle w:val="Parties"/>
      </w:pPr>
      <w:r w:rsidRPr="00843616">
        <w:rPr>
          <w:b/>
        </w:rPr>
        <w:t>Městská část Praha 18</w:t>
      </w:r>
      <w:r w:rsidRPr="00843616">
        <w:rPr>
          <w:bCs/>
        </w:rPr>
        <w:t xml:space="preserve">, IČO: </w:t>
      </w:r>
      <w:bookmarkStart w:id="1" w:name="_Hlk20919452"/>
      <w:r w:rsidRPr="00843616">
        <w:rPr>
          <w:bCs/>
        </w:rPr>
        <w:t>00231321</w:t>
      </w:r>
      <w:bookmarkEnd w:id="1"/>
      <w:r w:rsidRPr="00843616">
        <w:rPr>
          <w:bCs/>
        </w:rPr>
        <w:t xml:space="preserve">, se sídlem </w:t>
      </w:r>
      <w:bookmarkStart w:id="2" w:name="_Hlk20919353"/>
      <w:r w:rsidRPr="00843616">
        <w:rPr>
          <w:bCs/>
        </w:rPr>
        <w:t>Bechyňská 639, 199 00 Praha 9 – Letňany</w:t>
      </w:r>
      <w:bookmarkEnd w:id="2"/>
      <w:r w:rsidRPr="00843616">
        <w:rPr>
          <w:bCs/>
        </w:rPr>
        <w:t>, zastoupená Mgr. Zdeňkem Kučerou, MBA, starostou</w:t>
      </w:r>
    </w:p>
    <w:p w14:paraId="6277E635" w14:textId="47620E25" w:rsidR="004C14D6" w:rsidRPr="00843616" w:rsidRDefault="004C14D6" w:rsidP="00CA38B9">
      <w:pPr>
        <w:pStyle w:val="Zkladntext2"/>
        <w:spacing w:line="264" w:lineRule="auto"/>
      </w:pPr>
      <w:r w:rsidRPr="00843616">
        <w:t>(dále jen „</w:t>
      </w:r>
      <w:r w:rsidR="008104BC" w:rsidRPr="00843616">
        <w:rPr>
          <w:b/>
        </w:rPr>
        <w:t>I</w:t>
      </w:r>
      <w:r w:rsidR="00B93883" w:rsidRPr="00843616">
        <w:rPr>
          <w:b/>
        </w:rPr>
        <w:t>nvestor</w:t>
      </w:r>
      <w:r w:rsidRPr="00843616">
        <w:t>“)</w:t>
      </w:r>
    </w:p>
    <w:p w14:paraId="11747617" w14:textId="77777777" w:rsidR="008104BC" w:rsidRPr="00843616" w:rsidRDefault="008104BC" w:rsidP="00CA38B9">
      <w:pPr>
        <w:pStyle w:val="Zkladntext"/>
        <w:spacing w:line="264" w:lineRule="auto"/>
      </w:pPr>
      <w:r w:rsidRPr="00843616">
        <w:t>(Dodavatel a Investor společně dále jen „</w:t>
      </w:r>
      <w:r w:rsidRPr="00843616">
        <w:rPr>
          <w:b/>
        </w:rPr>
        <w:t>Smluvní strany</w:t>
      </w:r>
      <w:r w:rsidRPr="00843616">
        <w:t>“ a jednotlivě „</w:t>
      </w:r>
      <w:r w:rsidRPr="00843616">
        <w:rPr>
          <w:b/>
        </w:rPr>
        <w:t>Smluvní strana</w:t>
      </w:r>
      <w:r w:rsidRPr="00843616">
        <w:t>“)</w:t>
      </w:r>
    </w:p>
    <w:p w14:paraId="6B951D85" w14:textId="77777777" w:rsidR="00CA38B9" w:rsidRPr="00843616" w:rsidRDefault="00CA38B9" w:rsidP="00CA38B9">
      <w:pPr>
        <w:pStyle w:val="Level1"/>
        <w:spacing w:line="264" w:lineRule="auto"/>
      </w:pPr>
      <w:r w:rsidRPr="00843616">
        <w:t>Úvodní ustanovení</w:t>
      </w:r>
    </w:p>
    <w:p w14:paraId="45333F67" w14:textId="4C669290" w:rsidR="000F47E2" w:rsidRPr="00843616" w:rsidRDefault="00843616" w:rsidP="00CA38B9">
      <w:pPr>
        <w:pStyle w:val="Level2"/>
        <w:spacing w:line="264" w:lineRule="auto"/>
      </w:pPr>
      <w:r w:rsidRPr="00843616">
        <w:t xml:space="preserve">Hlavní město Praha je vlastníkem </w:t>
      </w:r>
      <w:r w:rsidR="000F47E2" w:rsidRPr="00843616">
        <w:t>pozemk</w:t>
      </w:r>
      <w:r w:rsidRPr="00843616">
        <w:t>ů</w:t>
      </w:r>
      <w:r w:rsidR="000F47E2" w:rsidRPr="00843616">
        <w:t xml:space="preserve"> parc. č.</w:t>
      </w:r>
      <w:r w:rsidR="00CB3026">
        <w:t>, 672/31 a</w:t>
      </w:r>
      <w:r w:rsidR="000F47E2" w:rsidRPr="00843616">
        <w:t xml:space="preserve"> 672/33 v katastrálním území Letňany, obci Praze (dále jen „</w:t>
      </w:r>
      <w:r w:rsidR="000F47E2" w:rsidRPr="00843616">
        <w:rPr>
          <w:b/>
          <w:bCs/>
        </w:rPr>
        <w:t>Předmětné</w:t>
      </w:r>
      <w:r w:rsidR="000F47E2" w:rsidRPr="00843616">
        <w:rPr>
          <w:b/>
        </w:rPr>
        <w:t xml:space="preserve"> </w:t>
      </w:r>
      <w:r w:rsidR="000F47E2" w:rsidRPr="00843616">
        <w:rPr>
          <w:b/>
          <w:bCs/>
        </w:rPr>
        <w:t>pozemky</w:t>
      </w:r>
      <w:r w:rsidR="000F47E2" w:rsidRPr="00843616">
        <w:t xml:space="preserve">“). </w:t>
      </w:r>
      <w:r w:rsidRPr="00843616">
        <w:t>Předmětné pozemky jsou ve svěřené správě Investora.</w:t>
      </w:r>
    </w:p>
    <w:p w14:paraId="40A43B2B" w14:textId="6E47F31D" w:rsidR="00910E6C" w:rsidRPr="00843616" w:rsidRDefault="000F47E2" w:rsidP="00D82F14">
      <w:pPr>
        <w:pStyle w:val="Level2"/>
        <w:spacing w:line="264" w:lineRule="auto"/>
      </w:pPr>
      <w:r w:rsidRPr="00843616">
        <w:t>Součástí pozemku parc. č. 672/31 v katastrálním území Letňany, obci Praze, je budova č.p. 454, způsob využití: stavba občanského vybavení (dále jen „</w:t>
      </w:r>
      <w:r w:rsidRPr="00843616">
        <w:rPr>
          <w:b/>
          <w:bCs/>
        </w:rPr>
        <w:t>Budova</w:t>
      </w:r>
      <w:r w:rsidRPr="00843616">
        <w:t>“), která je v současné době využívána jako mateřská škola.</w:t>
      </w:r>
      <w:r w:rsidR="00910E6C" w:rsidRPr="00843616">
        <w:t xml:space="preserve"> V Budově se je umístěna předávací stanice tepla, která je ve vlastnictví Dodavatele (dále jen „</w:t>
      </w:r>
      <w:r w:rsidR="00910E6C" w:rsidRPr="00843616">
        <w:rPr>
          <w:b/>
          <w:bCs/>
        </w:rPr>
        <w:t>Předávací stanice</w:t>
      </w:r>
      <w:r w:rsidR="00910E6C" w:rsidRPr="00843616">
        <w:t>“).</w:t>
      </w:r>
    </w:p>
    <w:p w14:paraId="061C9237" w14:textId="075105EF" w:rsidR="00CA38B9" w:rsidRPr="00843616" w:rsidRDefault="000F47E2" w:rsidP="000F47E2">
      <w:pPr>
        <w:pStyle w:val="Level2"/>
        <w:spacing w:line="264" w:lineRule="auto"/>
      </w:pPr>
      <w:r w:rsidRPr="00843616">
        <w:t>Společným povolením ze dne 20. 10. 2018, vydaným Úřadem městské části Praha 18, odborem výstavby a územního rozhodování, pod sp. zn. MC18/311/2018/OVÚR/Vě a č.j. MC 1822679/2018 OVÚR, které nabylo právní moci dne 8. 12. 2018, stavební úřad schválil stavební záměr nazvaný „</w:t>
      </w:r>
      <w:r w:rsidR="0067636E" w:rsidRPr="00843616">
        <w:t>Rekonstrukce MŠ Místecká, pavilónů B, C a E, Praha 18, ul. 454, Praha 9</w:t>
      </w:r>
      <w:r w:rsidR="00CA38B9" w:rsidRPr="00843616">
        <w:t>“</w:t>
      </w:r>
      <w:r w:rsidRPr="00843616">
        <w:t>, který má být realizován na Předmětných pozemcích.</w:t>
      </w:r>
    </w:p>
    <w:p w14:paraId="1121F5FD" w14:textId="73441E63" w:rsidR="00CA38B9" w:rsidRPr="00843616" w:rsidRDefault="00CA38B9" w:rsidP="00CA38B9">
      <w:pPr>
        <w:pStyle w:val="Level2"/>
        <w:spacing w:line="264" w:lineRule="auto"/>
      </w:pPr>
      <w:r w:rsidRPr="00843616">
        <w:t>Dodavatel je společností podnikající v oblasti energetiky a držitelem licence na rozvod tepelné energie.</w:t>
      </w:r>
      <w:r w:rsidR="0067636E" w:rsidRPr="00843616">
        <w:t xml:space="preserve"> </w:t>
      </w:r>
    </w:p>
    <w:p w14:paraId="174EAF82" w14:textId="15996923" w:rsidR="00833F51" w:rsidRPr="00843616" w:rsidRDefault="00833F51" w:rsidP="00833F51">
      <w:pPr>
        <w:pStyle w:val="Level1"/>
      </w:pPr>
      <w:r w:rsidRPr="00843616">
        <w:t xml:space="preserve">Rekonstrukce </w:t>
      </w:r>
      <w:r w:rsidR="007365C8" w:rsidRPr="00843616">
        <w:t>p</w:t>
      </w:r>
      <w:r w:rsidRPr="00843616">
        <w:t>ředávací stanice</w:t>
      </w:r>
    </w:p>
    <w:p w14:paraId="5EE6B29D" w14:textId="456D3F55" w:rsidR="00CA38B9" w:rsidRPr="00843616" w:rsidRDefault="00A04D24" w:rsidP="00A04D24">
      <w:pPr>
        <w:pStyle w:val="Level2"/>
        <w:spacing w:line="264" w:lineRule="auto"/>
      </w:pPr>
      <w:r w:rsidRPr="00843616">
        <w:t xml:space="preserve">Investor má zájem provést rekonstrukci technické infrastruktury </w:t>
      </w:r>
      <w:r w:rsidR="001515E3" w:rsidRPr="00843616">
        <w:t xml:space="preserve">nezbytné k připojení Budovy na distribuční síť centrálního zásobování teplem provozovanou Dodavatelem, která je vyvolána </w:t>
      </w:r>
      <w:r w:rsidR="00730840" w:rsidRPr="00843616">
        <w:t>změnou užívání Budovy pro potřeby mateřské školy.</w:t>
      </w:r>
    </w:p>
    <w:p w14:paraId="22ED0EE8" w14:textId="32D839EF" w:rsidR="00AF69E0" w:rsidRPr="00843616" w:rsidRDefault="00AF69E0" w:rsidP="00CA38B9">
      <w:pPr>
        <w:pStyle w:val="Level2"/>
        <w:spacing w:line="264" w:lineRule="auto"/>
      </w:pPr>
      <w:r w:rsidRPr="00843616">
        <w:lastRenderedPageBreak/>
        <w:t xml:space="preserve">Investor hodlá v rámci rekonstrukce Budovy provést </w:t>
      </w:r>
      <w:r w:rsidR="00557E81" w:rsidRPr="00843616">
        <w:t xml:space="preserve">na své náklady </w:t>
      </w:r>
      <w:r w:rsidRPr="00843616">
        <w:t xml:space="preserve">též </w:t>
      </w:r>
      <w:r w:rsidR="00730840" w:rsidRPr="00843616">
        <w:t xml:space="preserve">nezbytnou </w:t>
      </w:r>
      <w:r w:rsidRPr="00843616">
        <w:t>rekonstrukci Předávací stanice. Investor se zavazuje provést rekonstrukci Předávací stanice v souladu s právními předpisy, závaznými i doporučujícími ustanoveními technických norem a</w:t>
      </w:r>
      <w:r w:rsidR="00833F51" w:rsidRPr="00843616">
        <w:t> </w:t>
      </w:r>
      <w:r w:rsidRPr="00843616">
        <w:t xml:space="preserve">podmínkami připojení na soustavu centrálního zásobování teplem, které jsou </w:t>
      </w:r>
      <w:r w:rsidRPr="00843616">
        <w:rPr>
          <w:b/>
          <w:u w:val="single"/>
        </w:rPr>
        <w:t>přílohou</w:t>
      </w:r>
      <w:r w:rsidR="00D82F14" w:rsidRPr="00843616">
        <w:rPr>
          <w:b/>
          <w:u w:val="single"/>
        </w:rPr>
        <w:t> 1</w:t>
      </w:r>
      <w:r w:rsidRPr="00843616">
        <w:t xml:space="preserve"> této Smlouvy. </w:t>
      </w:r>
    </w:p>
    <w:p w14:paraId="0CC86C16" w14:textId="5D3014EB" w:rsidR="00557E81" w:rsidRPr="00843616" w:rsidRDefault="00557E81" w:rsidP="00557E81">
      <w:pPr>
        <w:pStyle w:val="Level2"/>
        <w:tabs>
          <w:tab w:val="clear" w:pos="680"/>
        </w:tabs>
        <w:spacing w:line="259" w:lineRule="auto"/>
      </w:pPr>
      <w:r w:rsidRPr="00843616">
        <w:t xml:space="preserve">Investor se zavazuje rekonstrukci Předávací stanice provést v souladu s projektovou dokumentací </w:t>
      </w:r>
      <w:r w:rsidR="00843616" w:rsidRPr="00843616">
        <w:t xml:space="preserve">ověřenou stavebním úřadem v řízení uvedeném v článku 1.3, </w:t>
      </w:r>
      <w:r w:rsidRPr="00843616">
        <w:t xml:space="preserve">právními předpisy a příslušnými technickými normami. </w:t>
      </w:r>
    </w:p>
    <w:p w14:paraId="7FE7474E" w14:textId="77777777" w:rsidR="00557E81" w:rsidRPr="00843616" w:rsidRDefault="00557E81" w:rsidP="00557E81">
      <w:pPr>
        <w:pStyle w:val="Level2"/>
        <w:spacing w:line="259" w:lineRule="auto"/>
      </w:pPr>
      <w:r w:rsidRPr="00843616">
        <w:t>Investor se dále zavazuje:</w:t>
      </w:r>
    </w:p>
    <w:p w14:paraId="66A767D4" w14:textId="161176E1" w:rsidR="00557E81" w:rsidRPr="00843616" w:rsidRDefault="00557E81" w:rsidP="00833F51">
      <w:pPr>
        <w:pStyle w:val="Alpha2"/>
        <w:spacing w:line="259" w:lineRule="auto"/>
      </w:pPr>
      <w:r w:rsidRPr="00843616">
        <w:t xml:space="preserve">provést rekonstrukci Předávací stanice dle projektové dokumentace </w:t>
      </w:r>
      <w:r w:rsidR="00843616" w:rsidRPr="00843616">
        <w:t>ověřen</w:t>
      </w:r>
      <w:r w:rsidR="006C6473">
        <w:t>é</w:t>
      </w:r>
      <w:r w:rsidR="00843616" w:rsidRPr="00843616">
        <w:t xml:space="preserve"> </w:t>
      </w:r>
      <w:r w:rsidR="00843616" w:rsidRPr="00843616">
        <w:t xml:space="preserve">stavebním úřadem v řízení uvedeném v článku 1.3, </w:t>
      </w:r>
      <w:r w:rsidR="00C508E5" w:rsidRPr="00843616">
        <w:t>a to prostřednictvím zhotovitele zvoleného Investorem (dále jen „</w:t>
      </w:r>
      <w:r w:rsidR="00C508E5" w:rsidRPr="00843616">
        <w:rPr>
          <w:b/>
          <w:bCs/>
        </w:rPr>
        <w:t>Zhotovitel</w:t>
      </w:r>
      <w:r w:rsidR="00C508E5" w:rsidRPr="00843616">
        <w:t>“)</w:t>
      </w:r>
      <w:r w:rsidRPr="00843616">
        <w:t>;</w:t>
      </w:r>
    </w:p>
    <w:p w14:paraId="174E0FF8" w14:textId="1302ADDD" w:rsidR="00557E81" w:rsidRPr="00843616" w:rsidRDefault="00557E81" w:rsidP="00557E81">
      <w:pPr>
        <w:pStyle w:val="Alpha2"/>
        <w:spacing w:line="259" w:lineRule="auto"/>
        <w:rPr>
          <w:iCs/>
        </w:rPr>
      </w:pPr>
      <w:r w:rsidRPr="00843616">
        <w:t xml:space="preserve">sjednat se Zhotovitelem záruku za jakost Předávací stanice v délce nejméně </w:t>
      </w:r>
      <w:r w:rsidR="007563A4" w:rsidRPr="00843616">
        <w:t xml:space="preserve">dvou </w:t>
      </w:r>
      <w:r w:rsidRPr="00843616">
        <w:t>(</w:t>
      </w:r>
      <w:r w:rsidR="007563A4" w:rsidRPr="00843616">
        <w:t>2</w:t>
      </w:r>
      <w:r w:rsidRPr="00843616">
        <w:t>) let od je</w:t>
      </w:r>
      <w:r w:rsidR="006C6473">
        <w:t>j</w:t>
      </w:r>
      <w:bookmarkStart w:id="3" w:name="_GoBack"/>
      <w:bookmarkEnd w:id="3"/>
      <w:r w:rsidR="006C6473">
        <w:t>í</w:t>
      </w:r>
      <w:r w:rsidRPr="00843616">
        <w:t>ho dokončení;</w:t>
      </w:r>
      <w:r w:rsidR="00624F9D" w:rsidRPr="00843616">
        <w:t xml:space="preserve"> </w:t>
      </w:r>
    </w:p>
    <w:p w14:paraId="28C76E51" w14:textId="1788CF4D" w:rsidR="00557E81" w:rsidRPr="00843616" w:rsidRDefault="00557E81" w:rsidP="00557E81">
      <w:pPr>
        <w:pStyle w:val="Alpha2"/>
        <w:spacing w:line="259" w:lineRule="auto"/>
        <w:rPr>
          <w:iCs/>
        </w:rPr>
      </w:pPr>
      <w:r w:rsidRPr="00843616">
        <w:t xml:space="preserve">nejpozději pět (5) pracovních dnů před zahájením </w:t>
      </w:r>
      <w:r w:rsidR="00C508E5" w:rsidRPr="00843616">
        <w:t>rekonstrukce</w:t>
      </w:r>
      <w:r w:rsidRPr="00843616">
        <w:t xml:space="preserve"> Předávací stanice předat Dodavateli jeden úplný stejnopis prováděcí projektové dokumentace Předávací stanice;</w:t>
      </w:r>
      <w:r w:rsidR="00624F9D" w:rsidRPr="00843616">
        <w:rPr>
          <w:i/>
        </w:rPr>
        <w:t xml:space="preserve"> </w:t>
      </w:r>
    </w:p>
    <w:p w14:paraId="05DFEF5F" w14:textId="77777777" w:rsidR="00557E81" w:rsidRPr="00843616" w:rsidRDefault="00557E81" w:rsidP="00557E81">
      <w:pPr>
        <w:pStyle w:val="Alpha2"/>
        <w:spacing w:line="259" w:lineRule="auto"/>
      </w:pPr>
      <w:r w:rsidRPr="00843616">
        <w:t>umožnit Dodavateli instalaci systému měření a regulace sloužící k ovládání Předávací stanice (dále jen „</w:t>
      </w:r>
      <w:r w:rsidRPr="00843616">
        <w:rPr>
          <w:b/>
        </w:rPr>
        <w:t>Systém měření a regulace</w:t>
      </w:r>
      <w:r w:rsidRPr="00843616">
        <w:t>“) a na výzvu Dodavatele zajistit stavební připravenost pro instalaci a uvedení do provozu Systému měření a regulace;</w:t>
      </w:r>
    </w:p>
    <w:p w14:paraId="7AEED019" w14:textId="179408D0" w:rsidR="00557E81" w:rsidRPr="00843616" w:rsidRDefault="00557E81" w:rsidP="00557E81">
      <w:pPr>
        <w:pStyle w:val="Alpha2"/>
      </w:pPr>
      <w:r w:rsidRPr="00843616">
        <w:t xml:space="preserve">zajistit koordinaci </w:t>
      </w:r>
      <w:r w:rsidR="00833F51" w:rsidRPr="00843616">
        <w:t>provádění rekonstrukce</w:t>
      </w:r>
      <w:r w:rsidRPr="00843616">
        <w:t xml:space="preserve"> Předávací stanice a Systému měření a</w:t>
      </w:r>
      <w:r w:rsidR="007A1AEB" w:rsidRPr="00843616">
        <w:t> </w:t>
      </w:r>
      <w:r w:rsidRPr="00843616">
        <w:t xml:space="preserve">regulace </w:t>
      </w:r>
      <w:r w:rsidR="00833F51" w:rsidRPr="00843616">
        <w:t>D</w:t>
      </w:r>
      <w:r w:rsidRPr="00843616">
        <w:t>odavatelem s činností dalších subjektů zúčastněných na výstavbě Budovy;</w:t>
      </w:r>
    </w:p>
    <w:p w14:paraId="36B23EF3" w14:textId="77777777" w:rsidR="00557E81" w:rsidRPr="00843616" w:rsidRDefault="00557E81" w:rsidP="00843616">
      <w:pPr>
        <w:pStyle w:val="Alpha2"/>
      </w:pPr>
      <w:r w:rsidRPr="00843616">
        <w:t xml:space="preserve">nejpozději pět (5) pracovních dnů před zahájením </w:t>
      </w:r>
      <w:bookmarkStart w:id="4" w:name="_Hlk20401441"/>
      <w:r w:rsidRPr="00843616">
        <w:t>přejímky Předávací stanice od Zhotovitele</w:t>
      </w:r>
      <w:bookmarkEnd w:id="4"/>
      <w:r w:rsidRPr="00843616">
        <w:t xml:space="preserve"> písemně a telefonicky vyzvat Dodavatele k účasti na takové přejímce;</w:t>
      </w:r>
    </w:p>
    <w:p w14:paraId="6F25D175" w14:textId="77777777" w:rsidR="00557E81" w:rsidRPr="00843616" w:rsidRDefault="00557E81" w:rsidP="00557E81">
      <w:pPr>
        <w:pStyle w:val="Alpha2"/>
        <w:spacing w:line="259" w:lineRule="auto"/>
      </w:pPr>
      <w:r w:rsidRPr="00843616">
        <w:t>předat Dodavateli kopie dokladů o zkouškách Předávací stanice včetně vyhodnocení plnění podmínek stanovených v územním rozhodnutí a stavebním povolení a případných dalších rozhodnutích;</w:t>
      </w:r>
    </w:p>
    <w:p w14:paraId="18E165E6" w14:textId="4DB78A8F" w:rsidR="00557E81" w:rsidRPr="00843616" w:rsidRDefault="001515E3" w:rsidP="00557E81">
      <w:pPr>
        <w:pStyle w:val="Alpha2"/>
        <w:spacing w:line="259" w:lineRule="auto"/>
      </w:pPr>
      <w:r w:rsidRPr="00843616">
        <w:t xml:space="preserve">po dokončení rekonstrukce Předávací stanice v souladu s touto Smlouvou </w:t>
      </w:r>
      <w:r w:rsidR="003555D9" w:rsidRPr="00843616">
        <w:t xml:space="preserve">předat rekonstruovanou Předávací stanici </w:t>
      </w:r>
      <w:r w:rsidRPr="00843616">
        <w:t xml:space="preserve">Dodavateli; </w:t>
      </w:r>
    </w:p>
    <w:p w14:paraId="20AAC244" w14:textId="3C9BDE4E" w:rsidR="00FE223A" w:rsidRPr="00843616" w:rsidRDefault="00557E81" w:rsidP="00730840">
      <w:pPr>
        <w:pStyle w:val="Alpha2"/>
        <w:spacing w:line="259" w:lineRule="auto"/>
        <w:rPr>
          <w:iCs/>
        </w:rPr>
      </w:pPr>
      <w:r w:rsidRPr="00843616">
        <w:t xml:space="preserve">zajistit bezodkladné a průběžné odstraňování vad a nedodělků zjištěných Investorem nebo Dodavatelem v průběhu přejímky Předávací stanice a dalších vad, které se vyskytnou </w:t>
      </w:r>
      <w:r w:rsidR="007563A4" w:rsidRPr="00843616">
        <w:t xml:space="preserve">v průběhu záruční doby </w:t>
      </w:r>
      <w:r w:rsidRPr="00843616">
        <w:t>po převzetí Předávací stanice od Zhotovitele.</w:t>
      </w:r>
      <w:r w:rsidR="00624F9D" w:rsidRPr="00843616">
        <w:t xml:space="preserve"> </w:t>
      </w:r>
    </w:p>
    <w:p w14:paraId="5893F683" w14:textId="0EA20AFE" w:rsidR="00557E81" w:rsidRPr="00843616" w:rsidRDefault="00557E81" w:rsidP="00557E81">
      <w:pPr>
        <w:pStyle w:val="Level2"/>
        <w:spacing w:line="264" w:lineRule="auto"/>
      </w:pPr>
      <w:r w:rsidRPr="00843616">
        <w:lastRenderedPageBreak/>
        <w:t xml:space="preserve">Dodavatel má právo kontrolovat </w:t>
      </w:r>
      <w:r w:rsidR="00C508E5" w:rsidRPr="00843616">
        <w:t>rekonstrukci</w:t>
      </w:r>
      <w:r w:rsidRPr="00843616">
        <w:t xml:space="preserve"> Předávací stanice, a to prostřednictvím osob, které Dodavatel určí. Zjistí-li, že Zhotovitel porušuje svou povinnost, může požadovat, aby Investor zajistil nápravu a aby Zhotovitel postupoval při </w:t>
      </w:r>
      <w:r w:rsidR="00C508E5" w:rsidRPr="00843616">
        <w:t>rekonstrukci</w:t>
      </w:r>
      <w:r w:rsidRPr="00843616">
        <w:t xml:space="preserve"> Předávací stanice řádným způsobem.</w:t>
      </w:r>
    </w:p>
    <w:p w14:paraId="798C7DB9" w14:textId="66438842" w:rsidR="001515E3" w:rsidRPr="00843616" w:rsidRDefault="001515E3" w:rsidP="00557E81">
      <w:pPr>
        <w:pStyle w:val="Level2"/>
        <w:spacing w:line="264" w:lineRule="auto"/>
      </w:pPr>
      <w:r w:rsidRPr="00843616">
        <w:t>O předání dokončené Předávací stanice bude Smluvními stranami sepsán předávací protokol, který bude obsahovat zejména seznam předané dokumentace a přehled vad a nedodělků Předávací stanice se lhůtami k jejich odstranění. Budou-li při předání zjištěny vady bránící řádnému užívání Předávací stanice, není Dodavatel povinen Předávací stanici převzít.</w:t>
      </w:r>
    </w:p>
    <w:p w14:paraId="46BF0511" w14:textId="77777777" w:rsidR="00B26E03" w:rsidRPr="00843616" w:rsidRDefault="00B26E03" w:rsidP="00B26E03">
      <w:pPr>
        <w:pStyle w:val="Level1"/>
        <w:spacing w:line="264" w:lineRule="auto"/>
      </w:pPr>
      <w:r w:rsidRPr="00843616">
        <w:t>Uzavření smlouvy o dodávce tepelné energie</w:t>
      </w:r>
    </w:p>
    <w:p w14:paraId="2932488D" w14:textId="74D9E8C5" w:rsidR="00B26E03" w:rsidRPr="00843616" w:rsidRDefault="00557E81" w:rsidP="00B26E03">
      <w:pPr>
        <w:pStyle w:val="Level2"/>
      </w:pPr>
      <w:r w:rsidRPr="00843616">
        <w:t>Dodavatel</w:t>
      </w:r>
      <w:r w:rsidR="00B26E03" w:rsidRPr="00843616">
        <w:t xml:space="preserve"> a Investor se zavazují, že za podmínek stanovených touto Smlouvou mezi sebou uzavřou smlouvu o dodávce tepelné energie (dále jen „</w:t>
      </w:r>
      <w:r w:rsidR="00B26E03" w:rsidRPr="00843616">
        <w:rPr>
          <w:b/>
        </w:rPr>
        <w:t>Smlouva o dodávce</w:t>
      </w:r>
      <w:r w:rsidR="00B26E03" w:rsidRPr="00843616">
        <w:t>“), kterou se Dodavatel zaváže dodávat Investorovi tepelnou energii do odběrného místa Investora nacházejícího se v Budově a Investor se zaváže odebírat tepelnou energii a</w:t>
      </w:r>
      <w:r w:rsidRPr="00843616">
        <w:t> </w:t>
      </w:r>
      <w:r w:rsidR="00B26E03" w:rsidRPr="00843616">
        <w:t>hradit Dodavateli dohodnutou cenu.</w:t>
      </w:r>
    </w:p>
    <w:p w14:paraId="3B0C9F43" w14:textId="4EA9C6E8" w:rsidR="00687ACF" w:rsidRPr="00843616" w:rsidRDefault="00687ACF" w:rsidP="00B26E03">
      <w:pPr>
        <w:pStyle w:val="Level2"/>
      </w:pPr>
      <w:r w:rsidRPr="00843616">
        <w:t>Dodávka tepelné energie na základě Smlouvy o dodávce bude zahájena do deseti (10) pracovních dnů ode dne uzavření Smlouvy o dodávce.</w:t>
      </w:r>
    </w:p>
    <w:p w14:paraId="091607DE" w14:textId="77777777" w:rsidR="00B26E03" w:rsidRPr="00843616" w:rsidRDefault="00B26E03" w:rsidP="00B26E03">
      <w:pPr>
        <w:pStyle w:val="Level2"/>
      </w:pPr>
      <w:r w:rsidRPr="00843616">
        <w:t>Zavázanou stranou a oprávněnou stranou ve smyslu § 1786 občanského zákoníku jsou jak Dodavatel, tak Investor.</w:t>
      </w:r>
    </w:p>
    <w:p w14:paraId="2D387D6E" w14:textId="0CE374E7" w:rsidR="00B26E03" w:rsidRPr="00843616" w:rsidRDefault="00B26E03" w:rsidP="00B26E03">
      <w:pPr>
        <w:pStyle w:val="Level2"/>
      </w:pPr>
      <w:bookmarkStart w:id="5" w:name="_Ref484518132"/>
      <w:bookmarkStart w:id="6" w:name="_Ref484605196"/>
      <w:r w:rsidRPr="00843616">
        <w:t xml:space="preserve">Každá ze Smluvních stran je oprávněna vyzvat druhou Smluvní stranu k uzavření Smlouvy o dodávce kdykoliv </w:t>
      </w:r>
      <w:r w:rsidR="001515E3" w:rsidRPr="00843616">
        <w:t>poté, co Dodavatel převezme Předávací stanici podle článku 2</w:t>
      </w:r>
      <w:r w:rsidRPr="00843616">
        <w:t xml:space="preserve">. Nevyzve-li žádná ze Smluvních stran druhou Smluvní stranu k uzavření Smlouvy o dodávce do dvanácti (12) měsíců od </w:t>
      </w:r>
      <w:r w:rsidR="001515E3" w:rsidRPr="00843616">
        <w:t>převzetí Předávací stanice Dodavatelem podle článku 2.8</w:t>
      </w:r>
      <w:r w:rsidRPr="00843616">
        <w:t>, povinnost Smluvních stran uzavřít Smlouvu o</w:t>
      </w:r>
      <w:r w:rsidR="00C508E5" w:rsidRPr="00843616">
        <w:t> </w:t>
      </w:r>
      <w:r w:rsidRPr="00843616">
        <w:t xml:space="preserve">dodávce zaniká. </w:t>
      </w:r>
    </w:p>
    <w:bookmarkEnd w:id="5"/>
    <w:bookmarkEnd w:id="6"/>
    <w:p w14:paraId="6B30BE20" w14:textId="6AEE9522" w:rsidR="00B26E03" w:rsidRPr="00843616" w:rsidRDefault="00B26E03" w:rsidP="00B26E03">
      <w:pPr>
        <w:pStyle w:val="Level2"/>
      </w:pPr>
      <w:r w:rsidRPr="00843616">
        <w:t xml:space="preserve">Doručí-li kterákoliv ze Smluvních stran druhé Smluvní straně výzvu k uzavření Smlouvy o dodávce v souladu s podmínkami této Smlouvy, jsou Smluvní </w:t>
      </w:r>
      <w:r w:rsidR="00687ACF" w:rsidRPr="00843616">
        <w:t>strany</w:t>
      </w:r>
      <w:r w:rsidRPr="00843616">
        <w:t xml:space="preserve"> povinny Smlouvu o dodávce uzavřít a podepsat do deseti (10) pracovních dnů od doručení výzvy.</w:t>
      </w:r>
    </w:p>
    <w:p w14:paraId="47FAB14F" w14:textId="28C41023" w:rsidR="00B26E03" w:rsidRPr="00843616" w:rsidRDefault="00B26E03" w:rsidP="00B26E03">
      <w:pPr>
        <w:pStyle w:val="Level2"/>
        <w:spacing w:line="264" w:lineRule="auto"/>
      </w:pPr>
      <w:r w:rsidRPr="00843616">
        <w:t xml:space="preserve">Znění Smlouvy o dodávce bude odpovídat vzoru obsaženému v </w:t>
      </w:r>
      <w:r w:rsidRPr="00843616">
        <w:rPr>
          <w:b/>
          <w:u w:val="single"/>
        </w:rPr>
        <w:t xml:space="preserve">příloze </w:t>
      </w:r>
      <w:r w:rsidR="00687ACF" w:rsidRPr="00843616">
        <w:rPr>
          <w:b/>
          <w:u w:val="single"/>
        </w:rPr>
        <w:t>2</w:t>
      </w:r>
      <w:r w:rsidRPr="00843616">
        <w:t xml:space="preserve"> této Smlouvy. V textu Smlouvy o dodávce neuvedené údaje budou před uzavřením smlouvy doplněny v souladu se skutečným stavem a touto Smlouvou. Přílohou a nedílnou součástí Smlouvy o dodávce budou </w:t>
      </w:r>
      <w:r w:rsidRPr="00843616">
        <w:rPr>
          <w:bCs/>
        </w:rPr>
        <w:t>obchodně-technické podmínky Dodavatele pro dodávku a</w:t>
      </w:r>
      <w:r w:rsidR="00557E81" w:rsidRPr="00843616">
        <w:rPr>
          <w:bCs/>
        </w:rPr>
        <w:t> </w:t>
      </w:r>
      <w:r w:rsidRPr="00843616">
        <w:rPr>
          <w:bCs/>
        </w:rPr>
        <w:t>odběr tepelné energie</w:t>
      </w:r>
      <w:r w:rsidRPr="0084361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43616">
        <w:rPr>
          <w:bCs/>
        </w:rPr>
        <w:t>ve znění platném a účinném ke dni uzavření Smlouvy o dodávce.</w:t>
      </w:r>
    </w:p>
    <w:p w14:paraId="5052BF6E" w14:textId="5F971DC9" w:rsidR="009E6476" w:rsidRPr="00843616" w:rsidRDefault="00B26E03" w:rsidP="00C508E5">
      <w:pPr>
        <w:pStyle w:val="Level2"/>
        <w:spacing w:line="264" w:lineRule="auto"/>
        <w:rPr>
          <w:iCs/>
        </w:rPr>
      </w:pPr>
      <w:r w:rsidRPr="00843616">
        <w:t>Investor prohlašuje, že se seznámil se zněním Smlouvy o dodávce obsaženým v</w:t>
      </w:r>
      <w:r w:rsidR="00910E6C" w:rsidRPr="00843616">
        <w:t> </w:t>
      </w:r>
      <w:r w:rsidRPr="00843616">
        <w:rPr>
          <w:b/>
          <w:u w:val="single"/>
        </w:rPr>
        <w:t>příloze</w:t>
      </w:r>
      <w:r w:rsidR="00910E6C" w:rsidRPr="00843616">
        <w:rPr>
          <w:b/>
          <w:u w:val="single"/>
        </w:rPr>
        <w:t> </w:t>
      </w:r>
      <w:r w:rsidRPr="00843616">
        <w:rPr>
          <w:b/>
          <w:u w:val="single"/>
        </w:rPr>
        <w:t>2</w:t>
      </w:r>
      <w:r w:rsidRPr="00843616">
        <w:t xml:space="preserve"> této Smlouvy a s obsahem obchodně-technick</w:t>
      </w:r>
      <w:r w:rsidR="00687ACF" w:rsidRPr="00843616">
        <w:t>ých</w:t>
      </w:r>
      <w:r w:rsidRPr="00843616">
        <w:t xml:space="preserve"> podmín</w:t>
      </w:r>
      <w:r w:rsidR="00687ACF" w:rsidRPr="00843616">
        <w:t>e</w:t>
      </w:r>
      <w:r w:rsidRPr="00843616">
        <w:t xml:space="preserve">k </w:t>
      </w:r>
      <w:r w:rsidR="00687ACF" w:rsidRPr="00843616">
        <w:t xml:space="preserve">pro </w:t>
      </w:r>
      <w:r w:rsidRPr="00843616">
        <w:t>dodávk</w:t>
      </w:r>
      <w:r w:rsidR="00687ACF" w:rsidRPr="00843616">
        <w:t>u</w:t>
      </w:r>
      <w:r w:rsidRPr="00843616">
        <w:t xml:space="preserve"> a</w:t>
      </w:r>
      <w:r w:rsidR="00687ACF" w:rsidRPr="00843616">
        <w:t> </w:t>
      </w:r>
      <w:r w:rsidRPr="00843616">
        <w:t>odběr tepelné energie obsažený</w:t>
      </w:r>
      <w:r w:rsidR="00687ACF" w:rsidRPr="00843616">
        <w:t>ch</w:t>
      </w:r>
      <w:r w:rsidRPr="00843616">
        <w:t xml:space="preserve"> v </w:t>
      </w:r>
      <w:r w:rsidRPr="00843616">
        <w:rPr>
          <w:b/>
          <w:u w:val="single"/>
        </w:rPr>
        <w:t>příloze 3</w:t>
      </w:r>
      <w:r w:rsidRPr="00843616">
        <w:t xml:space="preserve"> této Smlouvy</w:t>
      </w:r>
      <w:r w:rsidR="00557E81" w:rsidRPr="00843616">
        <w:t>.</w:t>
      </w:r>
      <w:r w:rsidR="00843616" w:rsidRPr="00843616" w:rsidDel="00843616">
        <w:t xml:space="preserve"> </w:t>
      </w:r>
    </w:p>
    <w:p w14:paraId="1AECB26D" w14:textId="752C76F6" w:rsidR="004C14D6" w:rsidRPr="00843616" w:rsidRDefault="00C80C44" w:rsidP="00CA38B9">
      <w:pPr>
        <w:pStyle w:val="Level1"/>
        <w:spacing w:line="264" w:lineRule="auto"/>
      </w:pPr>
      <w:r w:rsidRPr="00843616">
        <w:lastRenderedPageBreak/>
        <w:t>Věcná břemena a další práva</w:t>
      </w:r>
    </w:p>
    <w:p w14:paraId="0585B015" w14:textId="1DDA1E2D" w:rsidR="004C14D6" w:rsidRPr="00843616" w:rsidRDefault="00C80C44" w:rsidP="00CA38B9">
      <w:pPr>
        <w:pStyle w:val="Level2"/>
        <w:spacing w:line="264" w:lineRule="auto"/>
      </w:pPr>
      <w:r w:rsidRPr="00843616">
        <w:t xml:space="preserve">Investor se zavazuje uzavřít s </w:t>
      </w:r>
      <w:r w:rsidR="00FC2221" w:rsidRPr="00843616">
        <w:t>D</w:t>
      </w:r>
      <w:r w:rsidRPr="00843616">
        <w:t xml:space="preserve">odavatelem </w:t>
      </w:r>
      <w:r w:rsidR="000C2A4C" w:rsidRPr="00843616">
        <w:t xml:space="preserve">smlouvu </w:t>
      </w:r>
      <w:r w:rsidRPr="00843616">
        <w:t xml:space="preserve">o zřízení </w:t>
      </w:r>
      <w:r w:rsidR="000C2A4C" w:rsidRPr="00843616">
        <w:t>věcn</w:t>
      </w:r>
      <w:r w:rsidR="00D82F14" w:rsidRPr="00843616">
        <w:t>ých</w:t>
      </w:r>
      <w:r w:rsidR="000C2A4C" w:rsidRPr="00843616">
        <w:t xml:space="preserve"> </w:t>
      </w:r>
      <w:r w:rsidRPr="00843616">
        <w:t>břemen, kter</w:t>
      </w:r>
      <w:r w:rsidR="000C2A4C" w:rsidRPr="00843616">
        <w:t>ou</w:t>
      </w:r>
      <w:r w:rsidRPr="00843616">
        <w:t xml:space="preserve"> </w:t>
      </w:r>
      <w:r w:rsidR="008E1C9E" w:rsidRPr="00843616">
        <w:t>Investor</w:t>
      </w:r>
      <w:r w:rsidRPr="00843616">
        <w:t xml:space="preserve"> </w:t>
      </w:r>
      <w:r w:rsidR="008E1C9E" w:rsidRPr="00843616">
        <w:t xml:space="preserve">jako povinná osoba </w:t>
      </w:r>
      <w:r w:rsidRPr="00843616">
        <w:t xml:space="preserve">zřídí ve prospěch </w:t>
      </w:r>
      <w:r w:rsidR="008E1C9E" w:rsidRPr="00843616">
        <w:t>D</w:t>
      </w:r>
      <w:r w:rsidRPr="00843616">
        <w:t xml:space="preserve">odavatele </w:t>
      </w:r>
      <w:r w:rsidR="008E1C9E" w:rsidRPr="00843616">
        <w:t xml:space="preserve">jako oprávněné osoby </w:t>
      </w:r>
      <w:r w:rsidRPr="00843616">
        <w:t>následující věcná břemena</w:t>
      </w:r>
      <w:r w:rsidR="00910E6C" w:rsidRPr="00843616">
        <w:t>:</w:t>
      </w:r>
    </w:p>
    <w:p w14:paraId="7C797481" w14:textId="63E4E591" w:rsidR="00C80C44" w:rsidRPr="00843616" w:rsidRDefault="00D82F14" w:rsidP="00E413BF">
      <w:pPr>
        <w:pStyle w:val="Alpha2"/>
        <w:numPr>
          <w:ilvl w:val="0"/>
          <w:numId w:val="17"/>
        </w:numPr>
      </w:pPr>
      <w:r w:rsidRPr="00843616">
        <w:t xml:space="preserve">věcná břemena </w:t>
      </w:r>
      <w:r w:rsidR="008E1C9E" w:rsidRPr="00843616">
        <w:t xml:space="preserve">zatěžující </w:t>
      </w:r>
      <w:r w:rsidR="00910E6C" w:rsidRPr="00843616">
        <w:t xml:space="preserve">Předmětné </w:t>
      </w:r>
      <w:r w:rsidR="008E1C9E" w:rsidRPr="00843616">
        <w:t>pozemky</w:t>
      </w:r>
      <w:r w:rsidR="00C80C44" w:rsidRPr="00843616">
        <w:t xml:space="preserve">, </w:t>
      </w:r>
      <w:r w:rsidRPr="00843616">
        <w:t>na kterých bude umístěna tepelná přípojka umožňující dodávku tepelné energie do Budovy (dále jen „</w:t>
      </w:r>
      <w:r w:rsidRPr="00843616">
        <w:rPr>
          <w:b/>
          <w:bCs/>
        </w:rPr>
        <w:t>Tepelná přípojka</w:t>
      </w:r>
      <w:r w:rsidRPr="00843616">
        <w:t xml:space="preserve">“), </w:t>
      </w:r>
      <w:r w:rsidR="00FC2221" w:rsidRPr="00843616">
        <w:t xml:space="preserve">zakládající právo zřídit, provozovat a udržovat Tepelnou přípojku </w:t>
      </w:r>
      <w:r w:rsidR="00C80C44" w:rsidRPr="00843616">
        <w:t>na těchto pozemcích;</w:t>
      </w:r>
    </w:p>
    <w:p w14:paraId="0C6374C2" w14:textId="1895A3F2" w:rsidR="00FC2221" w:rsidRPr="00843616" w:rsidRDefault="00C80C44" w:rsidP="00C508E5">
      <w:pPr>
        <w:pStyle w:val="Alpha2"/>
        <w:spacing w:line="259" w:lineRule="auto"/>
      </w:pPr>
      <w:r w:rsidRPr="00843616">
        <w:t xml:space="preserve">věcné břemeno </w:t>
      </w:r>
      <w:r w:rsidR="008E1C9E" w:rsidRPr="00843616">
        <w:t>zatěžující Budovu</w:t>
      </w:r>
      <w:r w:rsidRPr="00843616">
        <w:t xml:space="preserve">, </w:t>
      </w:r>
      <w:r w:rsidR="00FC2221" w:rsidRPr="00843616">
        <w:t>zakládající právo zřídit, provozovat a udržovat v Budově Tepelnou přípojku, Předávací stanici a Systém měření a regulace (společně dále jen „</w:t>
      </w:r>
      <w:r w:rsidR="00FC2221" w:rsidRPr="00843616">
        <w:rPr>
          <w:b/>
          <w:bCs/>
        </w:rPr>
        <w:t>Zařízení</w:t>
      </w:r>
      <w:r w:rsidR="00FC2221" w:rsidRPr="00843616">
        <w:t>“), provádět na Zařízení úpravy za účelem jeho modernizace a zlepšení jeho výkonnosti a vstupovat</w:t>
      </w:r>
      <w:r w:rsidR="007563A4" w:rsidRPr="00843616">
        <w:t xml:space="preserve"> po předchozím oznámení</w:t>
      </w:r>
      <w:r w:rsidR="007C2915" w:rsidRPr="00843616">
        <w:t xml:space="preserve"> </w:t>
      </w:r>
      <w:r w:rsidR="00FC2221" w:rsidRPr="00843616">
        <w:t>do Budovy za účelem provádění prohlídky, údržby a oprav a odstraňování havárií Zařízení</w:t>
      </w:r>
      <w:r w:rsidR="00FC2221" w:rsidRPr="00843616">
        <w:rPr>
          <w:i/>
        </w:rPr>
        <w:t>.</w:t>
      </w:r>
      <w:r w:rsidR="00B7490F" w:rsidRPr="00843616">
        <w:t xml:space="preserve"> </w:t>
      </w:r>
    </w:p>
    <w:p w14:paraId="37CB22B3" w14:textId="77777777" w:rsidR="00FC2221" w:rsidRPr="00843616" w:rsidRDefault="00FC2221" w:rsidP="00FC2221">
      <w:pPr>
        <w:pStyle w:val="Level2"/>
        <w:spacing w:line="264" w:lineRule="auto"/>
      </w:pPr>
      <w:r w:rsidRPr="00843616">
        <w:t>Zavázanou stranou a oprávněnou stranou ve smyslu § 1786 občanského zákoníku jsou jak Dodavatel, tak Investor.</w:t>
      </w:r>
    </w:p>
    <w:p w14:paraId="10447B54" w14:textId="6837FC43" w:rsidR="000C2A4C" w:rsidRPr="00843616" w:rsidRDefault="00C80C44" w:rsidP="00730840">
      <w:pPr>
        <w:pStyle w:val="Level2"/>
        <w:spacing w:line="264" w:lineRule="auto"/>
      </w:pPr>
      <w:r w:rsidRPr="00843616">
        <w:t xml:space="preserve">Rozsah věcných břemen na pozemcích bude odpovídat ochrannému pásmu </w:t>
      </w:r>
      <w:r w:rsidR="00FC2221" w:rsidRPr="00843616">
        <w:t>Tepelné přípojky</w:t>
      </w:r>
      <w:r w:rsidRPr="00843616">
        <w:t xml:space="preserve">. Rozsah </w:t>
      </w:r>
      <w:r w:rsidR="000C2A4C" w:rsidRPr="00843616">
        <w:t xml:space="preserve">věcného </w:t>
      </w:r>
      <w:r w:rsidRPr="00843616">
        <w:t>břemen</w:t>
      </w:r>
      <w:r w:rsidR="000C2A4C" w:rsidRPr="00843616">
        <w:t>e</w:t>
      </w:r>
      <w:r w:rsidRPr="00843616">
        <w:t xml:space="preserve"> v </w:t>
      </w:r>
      <w:r w:rsidR="00FC2221" w:rsidRPr="00843616">
        <w:t>B</w:t>
      </w:r>
      <w:r w:rsidRPr="00843616">
        <w:t xml:space="preserve">udově bude stanoven tak, že bude zahrnovat nejméně část místnosti, v níž </w:t>
      </w:r>
      <w:r w:rsidR="00FC2221" w:rsidRPr="00843616">
        <w:t xml:space="preserve">bude umístěna Předávací stanice </w:t>
      </w:r>
      <w:r w:rsidRPr="00843616">
        <w:t>a dále přístupovou trasu k</w:t>
      </w:r>
      <w:r w:rsidR="00D82F14" w:rsidRPr="00843616">
        <w:t> </w:t>
      </w:r>
      <w:r w:rsidRPr="00843616">
        <w:t>této místnosti v šíři nejméně 1,2 m.</w:t>
      </w:r>
    </w:p>
    <w:p w14:paraId="202FA22B" w14:textId="26187058" w:rsidR="00E930AF" w:rsidRPr="00843616" w:rsidRDefault="00C80C44" w:rsidP="00CA38B9">
      <w:pPr>
        <w:pStyle w:val="Level2"/>
        <w:spacing w:line="264" w:lineRule="auto"/>
      </w:pPr>
      <w:r w:rsidRPr="00843616">
        <w:t xml:space="preserve">Věcná břemena uvedená v článku </w:t>
      </w:r>
      <w:r w:rsidR="00D82F14" w:rsidRPr="00843616">
        <w:t>4</w:t>
      </w:r>
      <w:r w:rsidR="00FC2221" w:rsidRPr="00843616">
        <w:t>.1</w:t>
      </w:r>
      <w:r w:rsidRPr="00843616">
        <w:t xml:space="preserve"> budou zřízena </w:t>
      </w:r>
      <w:r w:rsidR="00FC2221" w:rsidRPr="00843616">
        <w:t>za úplatu ve výši 10 000 Kč (slovy: deset tisíc korun</w:t>
      </w:r>
      <w:r w:rsidR="000C2A4C" w:rsidRPr="00843616">
        <w:t xml:space="preserve"> českých</w:t>
      </w:r>
      <w:r w:rsidR="00FC2221" w:rsidRPr="00843616">
        <w:t>) bez daně z přidané hodnoty</w:t>
      </w:r>
      <w:r w:rsidRPr="00843616">
        <w:t>.</w:t>
      </w:r>
      <w:r w:rsidR="00FC2221" w:rsidRPr="00843616">
        <w:t xml:space="preserve"> Věcná břemena uvedená v článku </w:t>
      </w:r>
      <w:r w:rsidR="00D82F14" w:rsidRPr="00843616">
        <w:t>4</w:t>
      </w:r>
      <w:r w:rsidR="00FC2221" w:rsidRPr="00843616">
        <w:t>.1 budou zřízena na dobu neurčitou.</w:t>
      </w:r>
      <w:r w:rsidR="007C2915" w:rsidRPr="00843616">
        <w:t xml:space="preserve"> </w:t>
      </w:r>
    </w:p>
    <w:p w14:paraId="4A5C0ECD" w14:textId="24B695BF" w:rsidR="00A12B86" w:rsidRPr="00843616" w:rsidRDefault="00A12B86" w:rsidP="00A12B86">
      <w:pPr>
        <w:pStyle w:val="Level2"/>
        <w:spacing w:line="264" w:lineRule="auto"/>
      </w:pPr>
      <w:r w:rsidRPr="00843616">
        <w:t>Součástí smlouvy o zřízení věcn</w:t>
      </w:r>
      <w:r w:rsidR="00D82F14" w:rsidRPr="00843616">
        <w:t>ých</w:t>
      </w:r>
      <w:r w:rsidRPr="00843616">
        <w:t xml:space="preserve"> břemen uvedené v článku </w:t>
      </w:r>
      <w:r w:rsidR="00833F51" w:rsidRPr="00843616">
        <w:t>4</w:t>
      </w:r>
      <w:r w:rsidRPr="00843616">
        <w:t>.1 bude souhlas Investora jako vlastníka Budovy ve smyslu § 508 odst. 1 občanského zákoníku se zápisem výhrady, že Předávací stanice a Systém měření a regulace nejsou součástí Budovy, do katastru nemovitostí.</w:t>
      </w:r>
    </w:p>
    <w:p w14:paraId="6F8204AE" w14:textId="68AD5919" w:rsidR="00B13202" w:rsidRPr="00843616" w:rsidRDefault="00FC2221" w:rsidP="00CA38B9">
      <w:pPr>
        <w:pStyle w:val="Level2"/>
        <w:spacing w:line="264" w:lineRule="auto"/>
      </w:pPr>
      <w:r w:rsidRPr="00843616">
        <w:t xml:space="preserve">Smluvní strany se zavazují </w:t>
      </w:r>
      <w:r w:rsidR="001E69F7" w:rsidRPr="00843616">
        <w:t xml:space="preserve">uzavřít </w:t>
      </w:r>
      <w:r w:rsidR="000C2A4C" w:rsidRPr="00843616">
        <w:t xml:space="preserve">smlouvu </w:t>
      </w:r>
      <w:r w:rsidR="001E69F7" w:rsidRPr="00843616">
        <w:t xml:space="preserve">o zřízení </w:t>
      </w:r>
      <w:r w:rsidR="00D82F14" w:rsidRPr="00843616">
        <w:t xml:space="preserve">věcných </w:t>
      </w:r>
      <w:r w:rsidR="001E69F7" w:rsidRPr="00843616">
        <w:t xml:space="preserve">břemen nejpozději do jednoho (1) měsíce od vydání </w:t>
      </w:r>
      <w:r w:rsidRPr="00843616">
        <w:t>K</w:t>
      </w:r>
      <w:r w:rsidR="001E69F7" w:rsidRPr="00843616">
        <w:t xml:space="preserve">olaudačního souhlasu, kterým bude povoleno užívání </w:t>
      </w:r>
      <w:r w:rsidRPr="00843616">
        <w:t>B</w:t>
      </w:r>
      <w:r w:rsidR="001E69F7" w:rsidRPr="00843616">
        <w:t>udovy.</w:t>
      </w:r>
    </w:p>
    <w:p w14:paraId="2D3A32EE" w14:textId="77777777" w:rsidR="00DE5453" w:rsidRPr="00843616" w:rsidRDefault="00DE5453" w:rsidP="00CA38B9">
      <w:pPr>
        <w:pStyle w:val="Level1"/>
        <w:spacing w:line="264" w:lineRule="auto"/>
      </w:pPr>
      <w:r w:rsidRPr="00843616">
        <w:t>Porušení smlouvy</w:t>
      </w:r>
    </w:p>
    <w:p w14:paraId="2CC0A430" w14:textId="22ACA466" w:rsidR="00DE5453" w:rsidRPr="00843616" w:rsidRDefault="00DE5453" w:rsidP="008E1C9E">
      <w:pPr>
        <w:pStyle w:val="Level2"/>
        <w:keepNext/>
        <w:spacing w:line="264" w:lineRule="auto"/>
      </w:pPr>
      <w:r w:rsidRPr="00843616">
        <w:t xml:space="preserve">Dodavatel je oprávněn od této </w:t>
      </w:r>
      <w:r w:rsidR="008E1C9E" w:rsidRPr="00843616">
        <w:t>S</w:t>
      </w:r>
      <w:r w:rsidRPr="00843616">
        <w:t xml:space="preserve">mlouvy odstoupit v následujících případech: </w:t>
      </w:r>
    </w:p>
    <w:p w14:paraId="7567831A" w14:textId="042A7A86" w:rsidR="00DE5453" w:rsidRPr="00843616" w:rsidRDefault="00A24A22" w:rsidP="00E413BF">
      <w:pPr>
        <w:pStyle w:val="Alpha2"/>
        <w:numPr>
          <w:ilvl w:val="0"/>
          <w:numId w:val="15"/>
        </w:numPr>
      </w:pPr>
      <w:r w:rsidRPr="00843616">
        <w:t xml:space="preserve">bude rozhodnuto o likvidaci </w:t>
      </w:r>
      <w:r w:rsidR="008E1C9E" w:rsidRPr="00843616">
        <w:t>Investor</w:t>
      </w:r>
      <w:r w:rsidRPr="00843616">
        <w:t xml:space="preserve">a, </w:t>
      </w:r>
      <w:r w:rsidR="008E1C9E" w:rsidRPr="00843616">
        <w:t>Investor</w:t>
      </w:r>
      <w:r w:rsidRPr="00843616">
        <w:t xml:space="preserve"> podá insolvenční návrh jako dlužník nebo bude rozhodnuto o úpadku </w:t>
      </w:r>
      <w:r w:rsidR="008E1C9E" w:rsidRPr="00843616">
        <w:t>Investor</w:t>
      </w:r>
      <w:r w:rsidRPr="00843616">
        <w:t>a a příslušné rozhodnutí nabude právní moci;</w:t>
      </w:r>
    </w:p>
    <w:p w14:paraId="44B1323D" w14:textId="6FB93D67" w:rsidR="00A24A22" w:rsidRPr="00843616" w:rsidRDefault="008E1C9E" w:rsidP="00E413BF">
      <w:pPr>
        <w:pStyle w:val="Alpha2"/>
        <w:numPr>
          <w:ilvl w:val="0"/>
          <w:numId w:val="15"/>
        </w:numPr>
      </w:pPr>
      <w:r w:rsidRPr="00843616">
        <w:t>Investor</w:t>
      </w:r>
      <w:r w:rsidR="00A24A22" w:rsidRPr="00843616">
        <w:t xml:space="preserve"> </w:t>
      </w:r>
      <w:r w:rsidR="00D82F14" w:rsidRPr="00843616">
        <w:t>se nestane vlastníkem Předmětných pozemků nejpozději do 31. 12. 2020</w:t>
      </w:r>
      <w:r w:rsidR="00A24A22" w:rsidRPr="00843616">
        <w:t>;</w:t>
      </w:r>
    </w:p>
    <w:p w14:paraId="30758F7B" w14:textId="65134A6D" w:rsidR="001515E3" w:rsidRPr="00843616" w:rsidRDefault="001515E3" w:rsidP="00E413BF">
      <w:pPr>
        <w:pStyle w:val="Alpha2"/>
        <w:numPr>
          <w:ilvl w:val="0"/>
          <w:numId w:val="15"/>
        </w:numPr>
      </w:pPr>
      <w:r w:rsidRPr="00843616">
        <w:t>Investor nesplní povinnost vyplývající z článku 2.</w:t>
      </w:r>
      <w:r w:rsidR="00E26AD1">
        <w:t>4</w:t>
      </w:r>
      <w:r w:rsidRPr="00843616">
        <w:t xml:space="preserve"> písm. (</w:t>
      </w:r>
      <w:r w:rsidR="00E26AD1">
        <w:t>h</w:t>
      </w:r>
      <w:r w:rsidRPr="00843616">
        <w:t xml:space="preserve">) ani do </w:t>
      </w:r>
      <w:r w:rsidR="007563A4" w:rsidRPr="00843616">
        <w:t>30.</w:t>
      </w:r>
      <w:r w:rsidR="00843616">
        <w:t> </w:t>
      </w:r>
      <w:r w:rsidR="007563A4" w:rsidRPr="00843616">
        <w:t>6.</w:t>
      </w:r>
      <w:r w:rsidR="00843616">
        <w:t> </w:t>
      </w:r>
      <w:r w:rsidR="007563A4" w:rsidRPr="00843616">
        <w:t>2020;</w:t>
      </w:r>
    </w:p>
    <w:p w14:paraId="5917C37D" w14:textId="1975E77E" w:rsidR="00DE5453" w:rsidRPr="00843616" w:rsidRDefault="008E1C9E" w:rsidP="00CA38B9">
      <w:pPr>
        <w:pStyle w:val="Alpha2"/>
      </w:pPr>
      <w:r w:rsidRPr="00843616">
        <w:t>Investor</w:t>
      </w:r>
      <w:r w:rsidR="00A24A22" w:rsidRPr="00843616">
        <w:t xml:space="preserve"> poruší jakékoliv jiné povinnosti uvedené v této </w:t>
      </w:r>
      <w:r w:rsidR="008A12B0" w:rsidRPr="00843616">
        <w:t>S</w:t>
      </w:r>
      <w:r w:rsidR="00A24A22" w:rsidRPr="00843616">
        <w:t xml:space="preserve">mlouvě a toto porušení neodstraní ani do </w:t>
      </w:r>
      <w:r w:rsidR="007563A4" w:rsidRPr="00843616">
        <w:t xml:space="preserve">třiceti </w:t>
      </w:r>
      <w:r w:rsidR="00A24A22" w:rsidRPr="00843616">
        <w:t>(</w:t>
      </w:r>
      <w:r w:rsidR="007563A4" w:rsidRPr="00843616">
        <w:t>30</w:t>
      </w:r>
      <w:r w:rsidR="00A24A22" w:rsidRPr="00843616">
        <w:t xml:space="preserve">) dnů od písemné výzvy </w:t>
      </w:r>
      <w:r w:rsidR="005318BC" w:rsidRPr="00843616">
        <w:t>D</w:t>
      </w:r>
      <w:r w:rsidR="00A24A22" w:rsidRPr="00843616">
        <w:t>odavatele</w:t>
      </w:r>
      <w:r w:rsidR="00DE5453" w:rsidRPr="00843616">
        <w:t>.</w:t>
      </w:r>
    </w:p>
    <w:p w14:paraId="28C91374" w14:textId="77777777" w:rsidR="00CA38B9" w:rsidRPr="00843616" w:rsidRDefault="00CA38B9" w:rsidP="00CA38B9">
      <w:pPr>
        <w:pStyle w:val="Level1"/>
      </w:pPr>
      <w:r w:rsidRPr="00843616">
        <w:t>ROZHODNÉ PRÁVO; ROZHODOVÁNÍ SPORŮ</w:t>
      </w:r>
    </w:p>
    <w:p w14:paraId="44FC224E" w14:textId="77777777" w:rsidR="00CA38B9" w:rsidRPr="00843616" w:rsidRDefault="00CA38B9" w:rsidP="00CA38B9">
      <w:pPr>
        <w:pStyle w:val="Level2"/>
      </w:pPr>
      <w:r w:rsidRPr="00843616">
        <w:t>Tato Smlouva se řídí právním řádem České republiky.</w:t>
      </w:r>
    </w:p>
    <w:p w14:paraId="17BCEA06" w14:textId="77777777" w:rsidR="00CA38B9" w:rsidRPr="00843616" w:rsidRDefault="00CA38B9" w:rsidP="00CA38B9">
      <w:pPr>
        <w:pStyle w:val="Level2"/>
      </w:pPr>
      <w:r w:rsidRPr="00843616">
        <w:t>Veškeré spory mezi Smluvními stranami vyplývající z této Smlouvy nebo z jejího porušení, ukončení nebo neplatnosti (dále jen „</w:t>
      </w:r>
      <w:r w:rsidRPr="00843616">
        <w:rPr>
          <w:b/>
        </w:rPr>
        <w:t>Spory</w:t>
      </w:r>
      <w:r w:rsidRPr="00843616">
        <w:t>“) budou rozhodovány obecnými soudy České republiky.</w:t>
      </w:r>
    </w:p>
    <w:p w14:paraId="456A99EF" w14:textId="77777777" w:rsidR="00CA38B9" w:rsidRPr="00843616" w:rsidRDefault="00CA38B9" w:rsidP="00CA38B9">
      <w:pPr>
        <w:pStyle w:val="Level2"/>
      </w:pPr>
      <w:r w:rsidRPr="00843616">
        <w:t>Smluvní strany se podle § 89a občanského soudního řádu dohodly, že k rozhodování Sporů je místně příslušný Obvodní soud pro Prahu 1; v případě, že podle procesních předpisů je k rozhodování věci v prvním stupni příslušný krajský soud, dohodly se Smluvní strany, že k rozhodování Sporů je místně příslušný Městský soud v Praze.</w:t>
      </w:r>
    </w:p>
    <w:p w14:paraId="1544AD32" w14:textId="77777777" w:rsidR="004C14D6" w:rsidRPr="00843616" w:rsidRDefault="004C14D6" w:rsidP="00CA38B9">
      <w:pPr>
        <w:pStyle w:val="Level1"/>
        <w:spacing w:line="264" w:lineRule="auto"/>
      </w:pPr>
      <w:r w:rsidRPr="00843616">
        <w:t>Závěrečná ustanovení</w:t>
      </w:r>
    </w:p>
    <w:p w14:paraId="1D74EA61" w14:textId="692DB3DD" w:rsidR="00CA38B9" w:rsidRPr="00843616" w:rsidRDefault="00CA38B9" w:rsidP="00CA38B9">
      <w:pPr>
        <w:pStyle w:val="Level2"/>
      </w:pPr>
      <w:r w:rsidRPr="00843616">
        <w:t>Tato Smlouva nabývá platnosti okamžikem jejího podpisu oběma Smluvními stranami</w:t>
      </w:r>
      <w:r w:rsidR="008A12B0" w:rsidRPr="00843616">
        <w:t xml:space="preserve"> a účinnosti dnem jejího uveřejnění prostřednictvím registru smluv dle článku </w:t>
      </w:r>
      <w:r w:rsidR="009423BA" w:rsidRPr="00843616">
        <w:t>7</w:t>
      </w:r>
      <w:r w:rsidR="008A12B0" w:rsidRPr="00843616">
        <w:t>.6</w:t>
      </w:r>
      <w:r w:rsidRPr="00843616">
        <w:t xml:space="preserve">. </w:t>
      </w:r>
    </w:p>
    <w:p w14:paraId="5A0186BE" w14:textId="77777777" w:rsidR="00CA38B9" w:rsidRPr="00843616" w:rsidRDefault="00CA38B9" w:rsidP="00CA38B9">
      <w:pPr>
        <w:pStyle w:val="Level2"/>
      </w:pPr>
      <w:r w:rsidRPr="00843616">
        <w:t>Tuto Smlouvu lze změnit nebo zrušit pouze dohodou Smluvních stran v písemné formě. Písemná forma je nezbytná i k dohodě o zániku závazků vzniklých na základě této Smlouvy. Odeslání zprávy elektronickou poštou či jinými elektronickými prostředky nebude pro účely tohoto článku považováno právní jednání v písemné formě.</w:t>
      </w:r>
    </w:p>
    <w:p w14:paraId="079B0CA1" w14:textId="77777777" w:rsidR="00CA38B9" w:rsidRPr="00843616" w:rsidRDefault="00CA38B9" w:rsidP="00CA38B9">
      <w:pPr>
        <w:pStyle w:val="Level2"/>
      </w:pPr>
      <w:r w:rsidRPr="00843616">
        <w:t>Neplatnost dohody o změně nebo zrušení této Smlouvy lze namítnout i poté, co již bylo započato s plněním. Smluvní strany vylučují použití § 582 odst. 2 občanského zákoníku v právních vztazích vyplývajících z této Smlouvy.</w:t>
      </w:r>
    </w:p>
    <w:p w14:paraId="62403BA7" w14:textId="77777777" w:rsidR="00CA38B9" w:rsidRPr="00843616" w:rsidRDefault="00CA38B9" w:rsidP="00CA38B9">
      <w:pPr>
        <w:pStyle w:val="Level2"/>
      </w:pPr>
      <w:r w:rsidRPr="00843616">
        <w:t>V právních poměrech vyplývajících z této Smlouvy mají ustanovení zákona, která nemají donucující účinky, přednost před obchodními zvyklostmi.</w:t>
      </w:r>
    </w:p>
    <w:p w14:paraId="553D543A" w14:textId="2142DB38" w:rsidR="00CA38B9" w:rsidRPr="00843616" w:rsidRDefault="00CA38B9" w:rsidP="00CA38B9">
      <w:pPr>
        <w:pStyle w:val="Level2"/>
      </w:pPr>
      <w:r w:rsidRPr="00843616">
        <w:t>Investor není oprávněn postoupit tuto Smlouvu, postoupit práva ani převést povinnosti vyplývající z této Smlouvy, a to ani částečně, ani práva vyplývající z této Smlouvy zatížit.</w:t>
      </w:r>
    </w:p>
    <w:p w14:paraId="6FF6F89B" w14:textId="5B3E83EB" w:rsidR="00EA43DC" w:rsidRPr="00843616" w:rsidRDefault="00EA43DC" w:rsidP="00EA43DC">
      <w:pPr>
        <w:pStyle w:val="Level2"/>
      </w:pPr>
      <w:r w:rsidRPr="00843616">
        <w:t xml:space="preserve">Smluvní strany prohlašují, že skutečnosti uvedené v této </w:t>
      </w:r>
      <w:r w:rsidR="00711F72">
        <w:t>S</w:t>
      </w:r>
      <w:r w:rsidRPr="00843616">
        <w:t>mlouvě nepovažují za obchodní tajemství ve smyslu § 504 občanského zákoníku a udělují svolení k jejich užití a</w:t>
      </w:r>
      <w:r w:rsidR="00843616">
        <w:t> </w:t>
      </w:r>
      <w:r w:rsidRPr="00843616">
        <w:t>zveřejnění bez stanovení jakýchkoliv dalších podmínek.</w:t>
      </w:r>
    </w:p>
    <w:p w14:paraId="70AC5462" w14:textId="0857C297" w:rsidR="00EA43DC" w:rsidRPr="00843616" w:rsidRDefault="00EA43DC" w:rsidP="00EA43DC">
      <w:pPr>
        <w:pStyle w:val="Level2"/>
      </w:pPr>
      <w:r w:rsidRPr="00843616">
        <w:t xml:space="preserve">Smluvní strany výslovně souhlasí s uveřejněním této </w:t>
      </w:r>
      <w:r w:rsidR="00711F72">
        <w:t>S</w:t>
      </w:r>
      <w:r w:rsidRPr="00843616">
        <w:t xml:space="preserve">mlouvy v registru smluv vedeném Ministerstvem vnitra České republiky v souladu se zákonem o registru smluv. </w:t>
      </w:r>
    </w:p>
    <w:p w14:paraId="2347D585" w14:textId="03D6AE64" w:rsidR="00711F72" w:rsidRDefault="00EA43DC" w:rsidP="00EA43DC">
      <w:pPr>
        <w:pStyle w:val="Level2"/>
      </w:pPr>
      <w:r w:rsidRPr="00843616">
        <w:t xml:space="preserve">Smluvní strany se dohodly, že uveřejnění této </w:t>
      </w:r>
      <w:r w:rsidR="00711F72">
        <w:t>S</w:t>
      </w:r>
      <w:r w:rsidRPr="00843616">
        <w:t>mlouvy dle předchozí</w:t>
      </w:r>
      <w:r w:rsidR="00711F72">
        <w:t>ho článku</w:t>
      </w:r>
      <w:r w:rsidRPr="00843616">
        <w:t xml:space="preserve"> zajistí </w:t>
      </w:r>
      <w:r w:rsidR="00711F72">
        <w:t xml:space="preserve">Investor </w:t>
      </w:r>
      <w:r w:rsidRPr="00843616">
        <w:t xml:space="preserve">ve lhůtě </w:t>
      </w:r>
      <w:r w:rsidR="00711F72">
        <w:t>patnácti (</w:t>
      </w:r>
      <w:r w:rsidRPr="00843616">
        <w:t>15</w:t>
      </w:r>
      <w:r w:rsidR="00711F72">
        <w:t>)</w:t>
      </w:r>
      <w:r w:rsidRPr="00843616">
        <w:t xml:space="preserve"> kalendářních dnů ode dne uzavření této </w:t>
      </w:r>
      <w:r w:rsidR="00711F72">
        <w:t>S</w:t>
      </w:r>
      <w:r w:rsidRPr="00843616">
        <w:t xml:space="preserve">mlouvy. </w:t>
      </w:r>
      <w:r w:rsidR="00711F72">
        <w:t xml:space="preserve">Investor bude Dodavatele písemně informovat </w:t>
      </w:r>
      <w:r w:rsidRPr="00843616">
        <w:t xml:space="preserve">o splnění této povinnosti nejpozději ve lhůtě </w:t>
      </w:r>
      <w:r w:rsidR="00711F72">
        <w:t>tří (</w:t>
      </w:r>
      <w:r w:rsidRPr="00843616">
        <w:t>3</w:t>
      </w:r>
      <w:r w:rsidR="00711F72">
        <w:t>)</w:t>
      </w:r>
      <w:r w:rsidRPr="00843616">
        <w:t xml:space="preserve"> </w:t>
      </w:r>
      <w:r w:rsidR="00711F72">
        <w:t>pracovních</w:t>
      </w:r>
      <w:r w:rsidR="00711F72" w:rsidRPr="00843616">
        <w:t xml:space="preserve"> </w:t>
      </w:r>
      <w:r w:rsidRPr="00843616">
        <w:t xml:space="preserve">dnů ode dne uveřejnění této </w:t>
      </w:r>
      <w:r w:rsidR="00711F72">
        <w:t>S</w:t>
      </w:r>
      <w:r w:rsidRPr="00843616">
        <w:t>mlouvy v registru smluv</w:t>
      </w:r>
      <w:r w:rsidR="00711F72">
        <w:t>,</w:t>
      </w:r>
      <w:r w:rsidRPr="00843616">
        <w:t xml:space="preserve"> a to oznámením na emailovou adresu</w:t>
      </w:r>
      <w:r w:rsidR="00711F72">
        <w:t xml:space="preserve"> </w:t>
      </w:r>
      <w:r w:rsidR="00711F72" w:rsidRPr="00711F72">
        <w:rPr>
          <w:i/>
          <w:iCs/>
        </w:rPr>
        <w:t>evzen.listik@aviaenergo.cz</w:t>
      </w:r>
      <w:r w:rsidR="00711F72" w:rsidRPr="00711F72">
        <w:t>.</w:t>
      </w:r>
      <w:r w:rsidR="00711F72">
        <w:t xml:space="preserve"> </w:t>
      </w:r>
    </w:p>
    <w:p w14:paraId="1CE0AB8B" w14:textId="0775CCF1" w:rsidR="008A12B0" w:rsidRPr="00843616" w:rsidRDefault="00EA43DC" w:rsidP="00D34873">
      <w:pPr>
        <w:pStyle w:val="Level2"/>
      </w:pPr>
      <w:r w:rsidRPr="00843616">
        <w:t xml:space="preserve">Pokud </w:t>
      </w:r>
      <w:r w:rsidR="00711F72">
        <w:t xml:space="preserve">Dodavatel </w:t>
      </w:r>
      <w:r w:rsidRPr="00843616">
        <w:t xml:space="preserve">neobdrží do </w:t>
      </w:r>
      <w:r w:rsidR="00711F72">
        <w:t>dvaceti (</w:t>
      </w:r>
      <w:r w:rsidRPr="00843616">
        <w:t>20</w:t>
      </w:r>
      <w:r w:rsidR="00711F72">
        <w:t>)</w:t>
      </w:r>
      <w:r w:rsidRPr="00843616">
        <w:t xml:space="preserve"> kalendářních dnů ode dne uzavření této </w:t>
      </w:r>
      <w:r w:rsidR="00711F72">
        <w:t>S</w:t>
      </w:r>
      <w:r w:rsidRPr="00843616">
        <w:t xml:space="preserve">mlouvy písemné oznámení o uveřejnění této </w:t>
      </w:r>
      <w:r w:rsidR="00711F72">
        <w:t>S</w:t>
      </w:r>
      <w:r w:rsidRPr="00843616">
        <w:t>mlouvy v registru smluv dle předchozí</w:t>
      </w:r>
      <w:r w:rsidR="00711F72">
        <w:t xml:space="preserve">ho článku, </w:t>
      </w:r>
      <w:r w:rsidRPr="00843616">
        <w:t xml:space="preserve">je po uplynutí této lhůty </w:t>
      </w:r>
      <w:r w:rsidR="00711F72">
        <w:t xml:space="preserve">Dodavatel oprávněn </w:t>
      </w:r>
      <w:r w:rsidRPr="00843616">
        <w:t xml:space="preserve">ve lhůtě </w:t>
      </w:r>
      <w:r w:rsidR="00711F72">
        <w:t>tří (</w:t>
      </w:r>
      <w:r w:rsidRPr="00843616">
        <w:t>3</w:t>
      </w:r>
      <w:r w:rsidR="00711F72">
        <w:t>)</w:t>
      </w:r>
      <w:r w:rsidRPr="00843616">
        <w:t xml:space="preserve"> </w:t>
      </w:r>
      <w:r w:rsidR="00711F72">
        <w:t>pracovních</w:t>
      </w:r>
      <w:r w:rsidR="00711F72" w:rsidRPr="00843616">
        <w:t xml:space="preserve"> </w:t>
      </w:r>
      <w:r w:rsidRPr="00843616">
        <w:t xml:space="preserve">dnů zajistit uveřejnění této </w:t>
      </w:r>
      <w:r w:rsidR="00711F72">
        <w:t>S</w:t>
      </w:r>
      <w:r w:rsidRPr="00843616">
        <w:t xml:space="preserve">mlouvy v souladu se zákonem o registru smluv. V takovém případě je o zveřejnění této smlouvy </w:t>
      </w:r>
      <w:r w:rsidR="00711F72">
        <w:t xml:space="preserve">Dodavatel povinen </w:t>
      </w:r>
      <w:r w:rsidRPr="00843616">
        <w:t xml:space="preserve">písemně informovat </w:t>
      </w:r>
      <w:r w:rsidR="00711F72">
        <w:t xml:space="preserve">Investora </w:t>
      </w:r>
      <w:r w:rsidRPr="00843616">
        <w:t xml:space="preserve">ve lhůtě </w:t>
      </w:r>
      <w:r w:rsidR="00711F72">
        <w:t>tří (</w:t>
      </w:r>
      <w:r w:rsidRPr="00843616">
        <w:t>3</w:t>
      </w:r>
      <w:r w:rsidR="00711F72">
        <w:t>)</w:t>
      </w:r>
      <w:r w:rsidRPr="00843616">
        <w:t xml:space="preserve"> </w:t>
      </w:r>
      <w:r w:rsidR="00711F72">
        <w:t xml:space="preserve">pracovních </w:t>
      </w:r>
      <w:r w:rsidRPr="00843616">
        <w:t xml:space="preserve">dnů ode dne uveřejnění této smlouvy v registru smluv oznámením </w:t>
      </w:r>
      <w:r w:rsidR="00711F72">
        <w:t xml:space="preserve">zaslaným </w:t>
      </w:r>
      <w:r w:rsidRPr="00843616">
        <w:t xml:space="preserve">na emailovou adresu: </w:t>
      </w:r>
      <w:r w:rsidRPr="00711F72">
        <w:rPr>
          <w:i/>
          <w:iCs/>
        </w:rPr>
        <w:t>pavel.fialka@letnany.cz</w:t>
      </w:r>
      <w:r w:rsidR="008A12B0" w:rsidRPr="00843616">
        <w:t>.</w:t>
      </w:r>
    </w:p>
    <w:p w14:paraId="73435539" w14:textId="4D43DC18" w:rsidR="00EA43DC" w:rsidRPr="00843616" w:rsidRDefault="00EA43DC" w:rsidP="00EA43DC">
      <w:pPr>
        <w:pStyle w:val="Level2"/>
      </w:pPr>
      <w:r w:rsidRPr="00843616">
        <w:t xml:space="preserve">Osoby podepisující tuto </w:t>
      </w:r>
      <w:r w:rsidR="00711F72">
        <w:t>S</w:t>
      </w:r>
      <w:r w:rsidRPr="00843616">
        <w:t>mlouvu svými podpisy stvrzují platnost svých jednatelských oprávnění.</w:t>
      </w:r>
    </w:p>
    <w:p w14:paraId="43742E88" w14:textId="3F5F5471" w:rsidR="00EA43DC" w:rsidRPr="00843616" w:rsidRDefault="00EA43DC" w:rsidP="00765E43">
      <w:pPr>
        <w:pStyle w:val="Level2"/>
      </w:pPr>
      <w:r w:rsidRPr="00843616">
        <w:t xml:space="preserve">Smluvní strany shodně prohlašují, že si tuto </w:t>
      </w:r>
      <w:r w:rsidR="00711F72">
        <w:t>S</w:t>
      </w:r>
      <w:r w:rsidRPr="00843616">
        <w:t xml:space="preserve">mlouvu před jejím podpisem přečetly a že byla uzavřena po vzájemném projednání podle jejich pravé a svobodné vůle určitě, vážně a srozumitelně, nikoliv v tísni </w:t>
      </w:r>
      <w:r w:rsidR="00711F72">
        <w:t xml:space="preserve">ani </w:t>
      </w:r>
      <w:r w:rsidRPr="00843616">
        <w:t>za nápadně nevýhodných podmínek, a</w:t>
      </w:r>
      <w:r w:rsidR="00711F72">
        <w:t> </w:t>
      </w:r>
      <w:r w:rsidRPr="00843616">
        <w:t>že se dohodly o celém jejím obsahu, což stvrzují svými podpisy.</w:t>
      </w:r>
    </w:p>
    <w:p w14:paraId="2C6CD4EE" w14:textId="7B888104" w:rsidR="00EA43DC" w:rsidRPr="00843616" w:rsidRDefault="00EA43DC" w:rsidP="00EA43DC">
      <w:pPr>
        <w:pStyle w:val="Level2"/>
      </w:pPr>
      <w:r w:rsidRPr="00843616">
        <w:t xml:space="preserve">Vše, co bylo dohodnuto před uzavřením </w:t>
      </w:r>
      <w:r w:rsidR="00711F72">
        <w:t>S</w:t>
      </w:r>
      <w:r w:rsidRPr="00843616">
        <w:t xml:space="preserve">mlouvy, je právně irelevantní a mezi </w:t>
      </w:r>
      <w:r w:rsidR="00711F72">
        <w:t>S</w:t>
      </w:r>
      <w:r w:rsidRPr="00843616">
        <w:t xml:space="preserve">mluvními stranami platí jen to, co je dohodnuto v této písemné </w:t>
      </w:r>
      <w:r w:rsidR="00711F72">
        <w:t>S</w:t>
      </w:r>
      <w:r w:rsidRPr="00843616">
        <w:t>mlouvě</w:t>
      </w:r>
    </w:p>
    <w:p w14:paraId="4EF8455F" w14:textId="7AA350E5" w:rsidR="004C14D6" w:rsidRPr="00843616" w:rsidRDefault="004C14D6" w:rsidP="00CA38B9">
      <w:pPr>
        <w:pStyle w:val="Level2"/>
        <w:keepNext/>
        <w:spacing w:after="120" w:line="264" w:lineRule="auto"/>
      </w:pPr>
      <w:r w:rsidRPr="00843616">
        <w:t xml:space="preserve">Nedílnou součástí </w:t>
      </w:r>
      <w:r w:rsidR="00CA38B9" w:rsidRPr="00843616">
        <w:t xml:space="preserve">této Smlouvy </w:t>
      </w:r>
      <w:r w:rsidRPr="00843616">
        <w:t>jsou následující přílohy:</w:t>
      </w:r>
    </w:p>
    <w:p w14:paraId="7CDE54E6" w14:textId="54ABCD0E" w:rsidR="00D82F14" w:rsidRPr="00843616" w:rsidRDefault="00CA38B9" w:rsidP="00D82F14">
      <w:pPr>
        <w:pStyle w:val="Bullet2"/>
        <w:spacing w:line="264" w:lineRule="auto"/>
        <w:contextualSpacing/>
      </w:pPr>
      <w:r w:rsidRPr="00843616">
        <w:t xml:space="preserve">příloha 1 </w:t>
      </w:r>
      <w:r w:rsidR="00D82F14" w:rsidRPr="00843616">
        <w:t>– podmínky připojení na soustavu centrálního zásobování teplem;</w:t>
      </w:r>
    </w:p>
    <w:p w14:paraId="205D8C96" w14:textId="109D089E" w:rsidR="00B26E03" w:rsidRPr="00843616" w:rsidRDefault="00D82F14" w:rsidP="00D82F14">
      <w:pPr>
        <w:pStyle w:val="Bullet2"/>
        <w:spacing w:line="264" w:lineRule="auto"/>
        <w:contextualSpacing/>
      </w:pPr>
      <w:r w:rsidRPr="00843616">
        <w:t xml:space="preserve">příloha2 </w:t>
      </w:r>
      <w:r w:rsidR="00B26E03" w:rsidRPr="00843616">
        <w:t>– vzor smlouvy o dodávce tepelné energie;</w:t>
      </w:r>
    </w:p>
    <w:p w14:paraId="12978635" w14:textId="4584BF57" w:rsidR="00B26E03" w:rsidRPr="00843616" w:rsidRDefault="00B26E03" w:rsidP="00B26E03">
      <w:pPr>
        <w:pStyle w:val="Bullet2"/>
        <w:spacing w:line="264" w:lineRule="auto"/>
        <w:contextualSpacing/>
      </w:pPr>
      <w:r w:rsidRPr="00843616">
        <w:t xml:space="preserve">příloha </w:t>
      </w:r>
      <w:r w:rsidR="00D82F14" w:rsidRPr="00843616">
        <w:t>3</w:t>
      </w:r>
      <w:r w:rsidR="008A12B0" w:rsidRPr="00843616">
        <w:t xml:space="preserve"> </w:t>
      </w:r>
      <w:r w:rsidRPr="00843616">
        <w:t xml:space="preserve">– obchodně-technické podmínky </w:t>
      </w:r>
      <w:r w:rsidR="00687ACF" w:rsidRPr="00843616">
        <w:t xml:space="preserve">pro </w:t>
      </w:r>
      <w:r w:rsidRPr="00843616">
        <w:t>dodávk</w:t>
      </w:r>
      <w:r w:rsidR="00687ACF" w:rsidRPr="00843616">
        <w:t>u a odběr</w:t>
      </w:r>
      <w:r w:rsidRPr="00843616">
        <w:t xml:space="preserve"> tepelné energie</w:t>
      </w:r>
      <w:r w:rsidR="008A12B0" w:rsidRPr="00843616">
        <w:t>.</w:t>
      </w:r>
    </w:p>
    <w:p w14:paraId="69C29469" w14:textId="142CDFAC" w:rsidR="004C14D6" w:rsidRPr="00843616" w:rsidRDefault="004C14D6" w:rsidP="00CA38B9">
      <w:pPr>
        <w:pStyle w:val="Level2"/>
        <w:spacing w:after="120" w:line="264" w:lineRule="auto"/>
      </w:pPr>
      <w:r w:rsidRPr="00843616">
        <w:t xml:space="preserve">Tato </w:t>
      </w:r>
      <w:r w:rsidR="00CA38B9" w:rsidRPr="00843616">
        <w:t>S</w:t>
      </w:r>
      <w:r w:rsidRPr="00843616">
        <w:t xml:space="preserve">mlouva byla sepsána ve </w:t>
      </w:r>
      <w:r w:rsidR="00EA43DC" w:rsidRPr="00843616">
        <w:t xml:space="preserve">čtyřech </w:t>
      </w:r>
      <w:r w:rsidRPr="00843616">
        <w:t>(</w:t>
      </w:r>
      <w:r w:rsidR="00EA43DC" w:rsidRPr="00843616">
        <w:t>4</w:t>
      </w:r>
      <w:r w:rsidRPr="00843616">
        <w:t xml:space="preserve">) vyhotoveních, z nichž každá ze </w:t>
      </w:r>
      <w:r w:rsidR="00CA38B9" w:rsidRPr="00843616">
        <w:t xml:space="preserve">Smluvních </w:t>
      </w:r>
      <w:r w:rsidRPr="00843616">
        <w:t xml:space="preserve">stran obdrží po </w:t>
      </w:r>
      <w:r w:rsidR="00EA43DC" w:rsidRPr="00843616">
        <w:t xml:space="preserve">dvou </w:t>
      </w:r>
      <w:r w:rsidRPr="00843616">
        <w:t>(</w:t>
      </w:r>
      <w:r w:rsidR="00EA43DC" w:rsidRPr="00843616">
        <w:t>2</w:t>
      </w:r>
      <w:r w:rsidRPr="00843616">
        <w:t>) vyhotovení</w:t>
      </w:r>
      <w:r w:rsidR="00E456BF" w:rsidRPr="00843616">
        <w:t>ch</w:t>
      </w:r>
      <w:r w:rsidRPr="00843616">
        <w:t>.</w:t>
      </w:r>
    </w:p>
    <w:p w14:paraId="268A9BF3" w14:textId="77777777" w:rsidR="008A12B0" w:rsidRPr="00843616" w:rsidRDefault="008A12B0" w:rsidP="008A12B0">
      <w:pPr>
        <w:pStyle w:val="Level1"/>
      </w:pPr>
      <w:r w:rsidRPr="00843616">
        <w:t>DOLOŽKA O SPLNĚNÍ PODMÍNEK PRO UZAVŘENÍ SMLOUVY</w:t>
      </w:r>
    </w:p>
    <w:p w14:paraId="2E8D7A17" w14:textId="00E3E7B5" w:rsidR="008A12B0" w:rsidRPr="00843616" w:rsidRDefault="008A12B0" w:rsidP="008A12B0">
      <w:pPr>
        <w:pStyle w:val="Level2"/>
      </w:pPr>
      <w:r w:rsidRPr="00843616">
        <w:t>Uzavření této Smlouvy schválilo Zastupitelstvo městské části Praha 18 na svém [•]. zasedání dne [•], a to usnesením č. [•].</w:t>
      </w:r>
    </w:p>
    <w:p w14:paraId="59E21688" w14:textId="33874B39" w:rsidR="008A12B0" w:rsidRPr="00843616" w:rsidRDefault="008A12B0" w:rsidP="008A12B0">
      <w:pPr>
        <w:pStyle w:val="Level2"/>
      </w:pPr>
      <w:r w:rsidRPr="00843616">
        <w:t>Investor prohlašuje dle § 43 odst. 1 zákona č. 131/2000 Sb., o hlavním městě Praze, ve znění pozdějších předpisů, že podmínky pro platnost této Smlouvy byly splněny.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43616" w:rsidRPr="00843616" w14:paraId="4186687E" w14:textId="77777777" w:rsidTr="00B26E03">
        <w:trPr>
          <w:jc w:val="center"/>
        </w:trPr>
        <w:tc>
          <w:tcPr>
            <w:tcW w:w="4535" w:type="dxa"/>
          </w:tcPr>
          <w:p w14:paraId="4CFB3531" w14:textId="77777777" w:rsidR="00CA38B9" w:rsidRPr="00843616" w:rsidRDefault="00CA38B9" w:rsidP="00CA38B9">
            <w:pPr>
              <w:pStyle w:val="Signatureblock"/>
              <w:spacing w:before="240"/>
            </w:pPr>
            <w:r w:rsidRPr="00843616">
              <w:t>V Praze dne _____________</w:t>
            </w:r>
          </w:p>
          <w:p w14:paraId="5C347D5A" w14:textId="77777777" w:rsidR="00CA38B9" w:rsidRPr="00843616" w:rsidRDefault="00CA38B9" w:rsidP="00CA38B9">
            <w:pPr>
              <w:pStyle w:val="Signatureblock"/>
              <w:jc w:val="center"/>
              <w:rPr>
                <w:lang w:eastAsia="cs-CZ"/>
              </w:rPr>
            </w:pPr>
          </w:p>
          <w:p w14:paraId="64B9DCC1" w14:textId="77777777" w:rsidR="00CA38B9" w:rsidRPr="00843616" w:rsidRDefault="00CA38B9" w:rsidP="00CA38B9">
            <w:pPr>
              <w:pStyle w:val="Signatureblock"/>
              <w:jc w:val="center"/>
              <w:rPr>
                <w:lang w:eastAsia="cs-CZ"/>
              </w:rPr>
            </w:pPr>
          </w:p>
          <w:p w14:paraId="4956CA01" w14:textId="77777777" w:rsidR="00CA38B9" w:rsidRPr="00843616" w:rsidRDefault="00CA38B9" w:rsidP="00CA38B9">
            <w:pPr>
              <w:pStyle w:val="Signatureblock"/>
              <w:jc w:val="center"/>
              <w:rPr>
                <w:lang w:eastAsia="cs-CZ"/>
              </w:rPr>
            </w:pPr>
          </w:p>
          <w:p w14:paraId="219065CD" w14:textId="77777777" w:rsidR="00CA38B9" w:rsidRPr="00843616" w:rsidRDefault="00CA38B9" w:rsidP="00CA38B9">
            <w:pPr>
              <w:pStyle w:val="Signatureblock"/>
              <w:jc w:val="center"/>
              <w:rPr>
                <w:lang w:eastAsia="cs-CZ"/>
              </w:rPr>
            </w:pPr>
          </w:p>
          <w:p w14:paraId="3B9E305B" w14:textId="77777777" w:rsidR="00CA38B9" w:rsidRPr="00843616" w:rsidRDefault="00CA38B9" w:rsidP="00CA38B9">
            <w:pPr>
              <w:pStyle w:val="Signatureblock"/>
              <w:jc w:val="center"/>
              <w:rPr>
                <w:szCs w:val="21"/>
                <w:lang w:eastAsia="cs-CZ"/>
              </w:rPr>
            </w:pPr>
            <w:r w:rsidRPr="00843616">
              <w:rPr>
                <w:szCs w:val="21"/>
                <w:lang w:eastAsia="cs-CZ"/>
              </w:rPr>
              <w:t>______________________________</w:t>
            </w:r>
          </w:p>
          <w:p w14:paraId="3EB1E674" w14:textId="77777777" w:rsidR="00CA38B9" w:rsidRPr="00843616" w:rsidRDefault="00CA38B9" w:rsidP="00CA38B9">
            <w:pPr>
              <w:pStyle w:val="Signatureblock"/>
              <w:jc w:val="center"/>
              <w:rPr>
                <w:lang w:eastAsia="cs-CZ"/>
              </w:rPr>
            </w:pPr>
            <w:r w:rsidRPr="00843616">
              <w:rPr>
                <w:b/>
                <w:lang w:eastAsia="cs-CZ"/>
              </w:rPr>
              <w:t>Avia Energo, s.r.o.</w:t>
            </w:r>
          </w:p>
          <w:p w14:paraId="49E2D059" w14:textId="77777777" w:rsidR="00CA38B9" w:rsidRPr="00843616" w:rsidRDefault="00CA38B9" w:rsidP="00CA38B9">
            <w:pPr>
              <w:pStyle w:val="Signatureblock"/>
              <w:jc w:val="center"/>
              <w:rPr>
                <w:szCs w:val="21"/>
                <w:lang w:eastAsia="cs-CZ"/>
              </w:rPr>
            </w:pPr>
            <w:r w:rsidRPr="00843616">
              <w:rPr>
                <w:szCs w:val="21"/>
                <w:lang w:eastAsia="cs-CZ"/>
              </w:rPr>
              <w:t>Ing. Jan Buček</w:t>
            </w:r>
          </w:p>
          <w:p w14:paraId="1E1E396D" w14:textId="1D5FC8DD" w:rsidR="00CA38B9" w:rsidRPr="00843616" w:rsidRDefault="00CA38B9" w:rsidP="00CA38B9">
            <w:pPr>
              <w:pStyle w:val="Signatureblock"/>
              <w:spacing w:line="264" w:lineRule="auto"/>
              <w:jc w:val="center"/>
              <w:rPr>
                <w:lang w:eastAsia="cs-CZ"/>
              </w:rPr>
            </w:pPr>
            <w:r w:rsidRPr="00843616">
              <w:rPr>
                <w:szCs w:val="21"/>
                <w:lang w:eastAsia="cs-CZ"/>
              </w:rPr>
              <w:t>prokurista</w:t>
            </w:r>
          </w:p>
        </w:tc>
        <w:tc>
          <w:tcPr>
            <w:tcW w:w="4535" w:type="dxa"/>
          </w:tcPr>
          <w:p w14:paraId="4B9EE6BD" w14:textId="77777777" w:rsidR="00CA38B9" w:rsidRPr="00843616" w:rsidRDefault="00CA38B9" w:rsidP="00CA38B9">
            <w:pPr>
              <w:pStyle w:val="Signatureblock"/>
              <w:spacing w:before="240"/>
            </w:pPr>
            <w:r w:rsidRPr="00843616">
              <w:t>V Praze dne _____________</w:t>
            </w:r>
          </w:p>
          <w:p w14:paraId="2A06B40F" w14:textId="77777777" w:rsidR="00CA38B9" w:rsidRPr="00843616" w:rsidRDefault="00CA38B9" w:rsidP="00CA38B9">
            <w:pPr>
              <w:pStyle w:val="Signatureblock"/>
              <w:jc w:val="center"/>
              <w:rPr>
                <w:lang w:eastAsia="cs-CZ"/>
              </w:rPr>
            </w:pPr>
          </w:p>
          <w:p w14:paraId="5E365D4B" w14:textId="77777777" w:rsidR="00CA38B9" w:rsidRPr="00843616" w:rsidRDefault="00CA38B9" w:rsidP="00CA38B9">
            <w:pPr>
              <w:pStyle w:val="Signatureblock"/>
              <w:jc w:val="center"/>
              <w:rPr>
                <w:lang w:eastAsia="cs-CZ"/>
              </w:rPr>
            </w:pPr>
          </w:p>
          <w:p w14:paraId="66A5E8C6" w14:textId="77777777" w:rsidR="00CA38B9" w:rsidRPr="00843616" w:rsidRDefault="00CA38B9" w:rsidP="00CA38B9">
            <w:pPr>
              <w:pStyle w:val="Signatureblock"/>
              <w:jc w:val="center"/>
              <w:rPr>
                <w:lang w:eastAsia="cs-CZ"/>
              </w:rPr>
            </w:pPr>
          </w:p>
          <w:p w14:paraId="05DFEEAB" w14:textId="77777777" w:rsidR="00CA38B9" w:rsidRPr="00843616" w:rsidRDefault="00CA38B9" w:rsidP="00CA38B9">
            <w:pPr>
              <w:pStyle w:val="Signatureblock"/>
              <w:jc w:val="center"/>
              <w:rPr>
                <w:lang w:eastAsia="cs-CZ"/>
              </w:rPr>
            </w:pPr>
          </w:p>
          <w:p w14:paraId="7AD3B776" w14:textId="77777777" w:rsidR="00CA38B9" w:rsidRPr="00843616" w:rsidRDefault="00CA38B9" w:rsidP="00CA38B9">
            <w:pPr>
              <w:pStyle w:val="Signatureblock"/>
              <w:jc w:val="center"/>
              <w:rPr>
                <w:szCs w:val="21"/>
                <w:lang w:eastAsia="cs-CZ"/>
              </w:rPr>
            </w:pPr>
            <w:r w:rsidRPr="00843616">
              <w:rPr>
                <w:szCs w:val="21"/>
                <w:lang w:eastAsia="cs-CZ"/>
              </w:rPr>
              <w:t>______________________________</w:t>
            </w:r>
          </w:p>
          <w:p w14:paraId="32274117" w14:textId="77777777" w:rsidR="008A12B0" w:rsidRPr="00843616" w:rsidRDefault="008A12B0" w:rsidP="008A12B0">
            <w:pPr>
              <w:pStyle w:val="Signatureblock"/>
              <w:jc w:val="center"/>
              <w:rPr>
                <w:b/>
              </w:rPr>
            </w:pPr>
            <w:r w:rsidRPr="00843616">
              <w:rPr>
                <w:b/>
              </w:rPr>
              <w:t>Městská část Praha 18</w:t>
            </w:r>
          </w:p>
          <w:p w14:paraId="26F8D4BE" w14:textId="77777777" w:rsidR="008A12B0" w:rsidRPr="00843616" w:rsidRDefault="008A12B0" w:rsidP="008A12B0">
            <w:pPr>
              <w:pStyle w:val="Signatureblock"/>
              <w:jc w:val="center"/>
              <w:rPr>
                <w:bCs/>
              </w:rPr>
            </w:pPr>
            <w:r w:rsidRPr="00843616">
              <w:rPr>
                <w:bCs/>
              </w:rPr>
              <w:t>Mgr. Zdeněk Kučera, MBA</w:t>
            </w:r>
          </w:p>
          <w:p w14:paraId="1B0FA054" w14:textId="2E6AA4CE" w:rsidR="00CA38B9" w:rsidRPr="00843616" w:rsidRDefault="008A12B0" w:rsidP="00CA38B9">
            <w:pPr>
              <w:pStyle w:val="Signatureblock"/>
              <w:spacing w:line="264" w:lineRule="auto"/>
              <w:jc w:val="center"/>
              <w:rPr>
                <w:szCs w:val="21"/>
                <w:lang w:eastAsia="cs-CZ"/>
              </w:rPr>
            </w:pPr>
            <w:r w:rsidRPr="00843616">
              <w:rPr>
                <w:bCs/>
              </w:rPr>
              <w:t>starosta</w:t>
            </w:r>
          </w:p>
        </w:tc>
      </w:tr>
    </w:tbl>
    <w:p w14:paraId="71A0057D" w14:textId="77777777" w:rsidR="0099003F" w:rsidRPr="00843616" w:rsidRDefault="0099003F" w:rsidP="00CA38B9">
      <w:pPr>
        <w:pStyle w:val="Zkladntext"/>
        <w:spacing w:line="264" w:lineRule="auto"/>
        <w:sectPr w:rsidR="0099003F" w:rsidRPr="00843616" w:rsidSect="00FB73D4">
          <w:footerReference w:type="default" r:id="rId8"/>
          <w:footerReference w:type="first" r:id="rId9"/>
          <w:pgSz w:w="11906" w:h="16838"/>
          <w:pgMar w:top="1417" w:right="1417" w:bottom="1417" w:left="1417" w:header="680" w:footer="680" w:gutter="0"/>
          <w:cols w:space="708"/>
          <w:titlePg/>
          <w:docGrid w:linePitch="360"/>
        </w:sectPr>
      </w:pPr>
    </w:p>
    <w:p w14:paraId="173E4213" w14:textId="548D8FDF" w:rsidR="00D82F14" w:rsidRPr="00711F72" w:rsidRDefault="0099003F" w:rsidP="00711F72">
      <w:pPr>
        <w:pStyle w:val="Zkladntext"/>
        <w:pageBreakBefore/>
        <w:jc w:val="center"/>
        <w:rPr>
          <w:b/>
          <w:bCs/>
        </w:rPr>
      </w:pPr>
      <w:r w:rsidRPr="00843616">
        <w:t>Příloha 1</w:t>
      </w:r>
      <w:r w:rsidR="00D82F14" w:rsidRPr="00843616">
        <w:br/>
      </w:r>
      <w:r w:rsidR="00D82F14" w:rsidRPr="00711F72">
        <w:rPr>
          <w:b/>
          <w:bCs/>
        </w:rPr>
        <w:t>Podmínky připojení na soustavu centrálního zásobování teplem</w:t>
      </w:r>
    </w:p>
    <w:p w14:paraId="25D298EA" w14:textId="77777777" w:rsidR="00711F72" w:rsidRDefault="00711F72" w:rsidP="00711F72">
      <w:pPr>
        <w:pStyle w:val="Zkladntext"/>
      </w:pPr>
    </w:p>
    <w:p w14:paraId="7AD61E49" w14:textId="6D56923C" w:rsidR="007A1AEB" w:rsidRPr="00711F72" w:rsidRDefault="007A1AEB" w:rsidP="00711F72">
      <w:pPr>
        <w:pStyle w:val="Zkladntext"/>
        <w:pageBreakBefore/>
        <w:jc w:val="center"/>
        <w:rPr>
          <w:b/>
          <w:bCs/>
        </w:rPr>
      </w:pPr>
      <w:r w:rsidRPr="00843616">
        <w:t>Příloha 2</w:t>
      </w:r>
      <w:r w:rsidRPr="00843616">
        <w:br/>
      </w:r>
      <w:r w:rsidRPr="00711F72">
        <w:rPr>
          <w:b/>
          <w:bCs/>
        </w:rPr>
        <w:t>Vzor smlouvy o dodávce tepelné energie</w:t>
      </w:r>
    </w:p>
    <w:p w14:paraId="2D34FA4A" w14:textId="77777777" w:rsidR="00711F72" w:rsidRPr="00711F72" w:rsidRDefault="00711F72" w:rsidP="00711F72">
      <w:pPr>
        <w:pStyle w:val="Zkladntext"/>
      </w:pPr>
    </w:p>
    <w:p w14:paraId="46164F1D" w14:textId="7667B1F2" w:rsidR="00FF1295" w:rsidRPr="00711F72" w:rsidRDefault="003B1B2E" w:rsidP="00711F72">
      <w:pPr>
        <w:pStyle w:val="Zkladntext"/>
        <w:pageBreakBefore/>
        <w:jc w:val="center"/>
        <w:rPr>
          <w:b/>
          <w:bCs/>
        </w:rPr>
      </w:pPr>
      <w:r w:rsidRPr="00843616">
        <w:t xml:space="preserve">Příloha </w:t>
      </w:r>
      <w:r w:rsidR="00D82F14" w:rsidRPr="00843616">
        <w:t>3</w:t>
      </w:r>
      <w:r w:rsidR="00485C56" w:rsidRPr="00843616">
        <w:br/>
      </w:r>
      <w:r w:rsidR="00485C56" w:rsidRPr="00711F72">
        <w:rPr>
          <w:b/>
          <w:bCs/>
        </w:rPr>
        <w:t>Obchodně-technické podmínky pro dodávku a odběr tepelné energie</w:t>
      </w:r>
    </w:p>
    <w:p w14:paraId="776283B3" w14:textId="77777777" w:rsidR="007A1AEB" w:rsidRPr="00843616" w:rsidRDefault="007A1AEB" w:rsidP="007A1AEB">
      <w:pPr>
        <w:pStyle w:val="Zkladntext"/>
      </w:pPr>
    </w:p>
    <w:sectPr w:rsidR="007A1AEB" w:rsidRPr="00843616" w:rsidSect="00B26E03">
      <w:footerReference w:type="default" r:id="rId10"/>
      <w:pgSz w:w="11906" w:h="16838" w:code="9"/>
      <w:pgMar w:top="1418" w:right="1418" w:bottom="1418" w:left="1418" w:header="680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F7024" w14:textId="77777777" w:rsidR="00CF789C" w:rsidRDefault="00CF789C" w:rsidP="00FB73D4">
      <w:r>
        <w:separator/>
      </w:r>
    </w:p>
  </w:endnote>
  <w:endnote w:type="continuationSeparator" w:id="0">
    <w:p w14:paraId="5BAEFE86" w14:textId="77777777" w:rsidR="00CF789C" w:rsidRDefault="00CF789C" w:rsidP="00FB73D4">
      <w:r>
        <w:continuationSeparator/>
      </w:r>
    </w:p>
  </w:endnote>
  <w:endnote w:type="continuationNotice" w:id="1">
    <w:p w14:paraId="0C8CBF01" w14:textId="77777777" w:rsidR="00CF789C" w:rsidRDefault="00CF78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335BB" w14:textId="3A88FB14" w:rsidR="00765E43" w:rsidRDefault="00765E43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CB3026">
      <w:rPr>
        <w:noProof/>
      </w:rPr>
      <w:t>6</w:t>
    </w:r>
    <w:r>
      <w:fldChar w:fldCharType="end"/>
    </w:r>
    <w:r>
      <w:t xml:space="preserve"> </w:t>
    </w:r>
    <w:r>
      <w:rPr>
        <w:rFonts w:cs="Times New Roman"/>
      </w:rPr>
      <w:t>|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CB3026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B3E81" w14:textId="5FC23F91" w:rsidR="00950CB4" w:rsidRPr="00950CB4" w:rsidRDefault="00950CB4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CB3026">
      <w:rPr>
        <w:noProof/>
      </w:rPr>
      <w:t>1</w:t>
    </w:r>
    <w:r>
      <w:fldChar w:fldCharType="end"/>
    </w:r>
    <w:r>
      <w:rPr>
        <w:rFonts w:cs="Times New Roman"/>
      </w:rPr>
      <w:t>|</w:t>
    </w:r>
    <w:r w:rsidR="00CB3026">
      <w:rPr>
        <w:noProof/>
      </w:rPr>
      <w:fldChar w:fldCharType="begin"/>
    </w:r>
    <w:r w:rsidR="00CB3026">
      <w:rPr>
        <w:noProof/>
      </w:rPr>
      <w:instrText xml:space="preserve"> NUMPAGES   \* MERGEFORMAT </w:instrText>
    </w:r>
    <w:r w:rsidR="00CB3026">
      <w:rPr>
        <w:noProof/>
      </w:rPr>
      <w:fldChar w:fldCharType="separate"/>
    </w:r>
    <w:r w:rsidR="00CB3026">
      <w:rPr>
        <w:noProof/>
      </w:rPr>
      <w:t>9</w:t>
    </w:r>
    <w:r w:rsidR="00CB302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7CFC7" w14:textId="77777777" w:rsidR="00765E43" w:rsidRPr="00EC3638" w:rsidRDefault="00765E43" w:rsidP="00B26E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BB5A9" w14:textId="77777777" w:rsidR="00CF789C" w:rsidRDefault="00CF789C" w:rsidP="00FB73D4">
      <w:r>
        <w:separator/>
      </w:r>
    </w:p>
  </w:footnote>
  <w:footnote w:type="continuationSeparator" w:id="0">
    <w:p w14:paraId="2BE7DDC9" w14:textId="77777777" w:rsidR="00CF789C" w:rsidRDefault="00CF789C" w:rsidP="00FB73D4">
      <w:r>
        <w:continuationSeparator/>
      </w:r>
    </w:p>
  </w:footnote>
  <w:footnote w:type="continuationNotice" w:id="1">
    <w:p w14:paraId="601DDCA6" w14:textId="77777777" w:rsidR="00CF789C" w:rsidRDefault="00CF78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8FB6CD0C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27AE9E3E"/>
    <w:lvl w:ilvl="0">
      <w:numFmt w:val="bullet"/>
      <w:lvlText w:val="*"/>
      <w:lvlJc w:val="left"/>
    </w:lvl>
  </w:abstractNum>
  <w:abstractNum w:abstractNumId="2" w15:restartNumberingAfterBreak="0">
    <w:nsid w:val="00493192"/>
    <w:multiLevelType w:val="hybridMultilevel"/>
    <w:tmpl w:val="FC54C6E8"/>
    <w:lvl w:ilvl="0" w:tplc="76B80B5A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01" w:hanging="360"/>
      </w:pPr>
    </w:lvl>
    <w:lvl w:ilvl="2" w:tplc="0405001B" w:tentative="1">
      <w:start w:val="1"/>
      <w:numFmt w:val="lowerRoman"/>
      <w:lvlText w:val="%3."/>
      <w:lvlJc w:val="right"/>
      <w:pPr>
        <w:ind w:left="3521" w:hanging="180"/>
      </w:pPr>
    </w:lvl>
    <w:lvl w:ilvl="3" w:tplc="0405000F" w:tentative="1">
      <w:start w:val="1"/>
      <w:numFmt w:val="decimal"/>
      <w:lvlText w:val="%4."/>
      <w:lvlJc w:val="left"/>
      <w:pPr>
        <w:ind w:left="4241" w:hanging="360"/>
      </w:pPr>
    </w:lvl>
    <w:lvl w:ilvl="4" w:tplc="04050019" w:tentative="1">
      <w:start w:val="1"/>
      <w:numFmt w:val="lowerLetter"/>
      <w:lvlText w:val="%5."/>
      <w:lvlJc w:val="left"/>
      <w:pPr>
        <w:ind w:left="4961" w:hanging="360"/>
      </w:pPr>
    </w:lvl>
    <w:lvl w:ilvl="5" w:tplc="0405001B" w:tentative="1">
      <w:start w:val="1"/>
      <w:numFmt w:val="lowerRoman"/>
      <w:lvlText w:val="%6."/>
      <w:lvlJc w:val="right"/>
      <w:pPr>
        <w:ind w:left="5681" w:hanging="180"/>
      </w:pPr>
    </w:lvl>
    <w:lvl w:ilvl="6" w:tplc="0405000F" w:tentative="1">
      <w:start w:val="1"/>
      <w:numFmt w:val="decimal"/>
      <w:lvlText w:val="%7."/>
      <w:lvlJc w:val="left"/>
      <w:pPr>
        <w:ind w:left="6401" w:hanging="360"/>
      </w:pPr>
    </w:lvl>
    <w:lvl w:ilvl="7" w:tplc="04050019" w:tentative="1">
      <w:start w:val="1"/>
      <w:numFmt w:val="lowerLetter"/>
      <w:lvlText w:val="%8."/>
      <w:lvlJc w:val="left"/>
      <w:pPr>
        <w:ind w:left="7121" w:hanging="360"/>
      </w:pPr>
    </w:lvl>
    <w:lvl w:ilvl="8" w:tplc="040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3" w15:restartNumberingAfterBreak="0">
    <w:nsid w:val="04A02DE9"/>
    <w:multiLevelType w:val="hybridMultilevel"/>
    <w:tmpl w:val="A992CC52"/>
    <w:lvl w:ilvl="0" w:tplc="FD88D8D6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03E9F"/>
    <w:multiLevelType w:val="hybridMultilevel"/>
    <w:tmpl w:val="E6528850"/>
    <w:lvl w:ilvl="0" w:tplc="F4DC37FA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EB019B"/>
    <w:multiLevelType w:val="hybridMultilevel"/>
    <w:tmpl w:val="891EC920"/>
    <w:lvl w:ilvl="0" w:tplc="199493F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512E2"/>
    <w:multiLevelType w:val="singleLevel"/>
    <w:tmpl w:val="DDDCE7FA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" w15:restartNumberingAfterBreak="0">
    <w:nsid w:val="0D150E3E"/>
    <w:multiLevelType w:val="hybridMultilevel"/>
    <w:tmpl w:val="DC3CAC60"/>
    <w:lvl w:ilvl="0" w:tplc="501251C8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B667B"/>
    <w:multiLevelType w:val="hybridMultilevel"/>
    <w:tmpl w:val="E80EE52C"/>
    <w:lvl w:ilvl="0" w:tplc="497A5DE0">
      <w:start w:val="1"/>
      <w:numFmt w:val="lowerRoman"/>
      <w:pStyle w:val="Roman4"/>
      <w:lvlText w:val="(%1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E658B"/>
    <w:multiLevelType w:val="hybridMultilevel"/>
    <w:tmpl w:val="3DF2BDA6"/>
    <w:lvl w:ilvl="0" w:tplc="F67A70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38EF"/>
    <w:multiLevelType w:val="hybridMultilevel"/>
    <w:tmpl w:val="D3FE3180"/>
    <w:lvl w:ilvl="0" w:tplc="4A7624AA">
      <w:start w:val="1"/>
      <w:numFmt w:val="decimal"/>
      <w:lvlText w:val="%1."/>
      <w:lvlJc w:val="left"/>
      <w:pPr>
        <w:tabs>
          <w:tab w:val="num" w:pos="45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58E2C65"/>
    <w:multiLevelType w:val="hybridMultilevel"/>
    <w:tmpl w:val="02585DBE"/>
    <w:lvl w:ilvl="0" w:tplc="01E27C7C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1D7940"/>
    <w:multiLevelType w:val="hybridMultilevel"/>
    <w:tmpl w:val="177C4108"/>
    <w:lvl w:ilvl="0" w:tplc="53347C7C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A1E9C"/>
    <w:multiLevelType w:val="hybridMultilevel"/>
    <w:tmpl w:val="D3FE3180"/>
    <w:lvl w:ilvl="0" w:tplc="4A7624AA">
      <w:start w:val="1"/>
      <w:numFmt w:val="decimal"/>
      <w:lvlText w:val="%1."/>
      <w:lvlJc w:val="left"/>
      <w:pPr>
        <w:tabs>
          <w:tab w:val="num" w:pos="45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783933"/>
    <w:multiLevelType w:val="hybridMultilevel"/>
    <w:tmpl w:val="D3FE3180"/>
    <w:lvl w:ilvl="0" w:tplc="4A7624AA">
      <w:start w:val="1"/>
      <w:numFmt w:val="decimal"/>
      <w:lvlText w:val="%1."/>
      <w:lvlJc w:val="left"/>
      <w:pPr>
        <w:tabs>
          <w:tab w:val="num" w:pos="45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135A9F"/>
    <w:multiLevelType w:val="hybridMultilevel"/>
    <w:tmpl w:val="FFF635FE"/>
    <w:lvl w:ilvl="0" w:tplc="AEF0D0B4">
      <w:start w:val="1"/>
      <w:numFmt w:val="lowerLetter"/>
      <w:pStyle w:val="Alpha4"/>
      <w:lvlText w:val="(%1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32570"/>
    <w:multiLevelType w:val="singleLevel"/>
    <w:tmpl w:val="DDDCE7FA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296F3C97"/>
    <w:multiLevelType w:val="hybridMultilevel"/>
    <w:tmpl w:val="D3FE3180"/>
    <w:lvl w:ilvl="0" w:tplc="4A7624AA">
      <w:start w:val="1"/>
      <w:numFmt w:val="decimal"/>
      <w:lvlText w:val="%1."/>
      <w:lvlJc w:val="left"/>
      <w:pPr>
        <w:tabs>
          <w:tab w:val="num" w:pos="45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98A3CC5"/>
    <w:multiLevelType w:val="hybridMultilevel"/>
    <w:tmpl w:val="BBB0E936"/>
    <w:lvl w:ilvl="0" w:tplc="49104416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17DBB"/>
    <w:multiLevelType w:val="multilevel"/>
    <w:tmpl w:val="C2E8F2CC"/>
    <w:lvl w:ilvl="0">
      <w:start w:val="1"/>
      <w:numFmt w:val="decimal"/>
      <w:pStyle w:val="Level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60" w:hanging="340"/>
      </w:pPr>
      <w:rPr>
        <w:rFonts w:hint="default"/>
      </w:rPr>
    </w:lvl>
  </w:abstractNum>
  <w:abstractNum w:abstractNumId="20" w15:restartNumberingAfterBreak="0">
    <w:nsid w:val="2D2F248D"/>
    <w:multiLevelType w:val="singleLevel"/>
    <w:tmpl w:val="DDDCE7FA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1" w15:restartNumberingAfterBreak="0">
    <w:nsid w:val="2D84671B"/>
    <w:multiLevelType w:val="hybridMultilevel"/>
    <w:tmpl w:val="D3FE3180"/>
    <w:lvl w:ilvl="0" w:tplc="4A7624AA">
      <w:start w:val="1"/>
      <w:numFmt w:val="decimal"/>
      <w:lvlText w:val="%1."/>
      <w:lvlJc w:val="left"/>
      <w:pPr>
        <w:tabs>
          <w:tab w:val="num" w:pos="45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387159"/>
    <w:multiLevelType w:val="singleLevel"/>
    <w:tmpl w:val="DDDCE7FA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 w15:restartNumberingAfterBreak="0">
    <w:nsid w:val="36D25F3E"/>
    <w:multiLevelType w:val="hybridMultilevel"/>
    <w:tmpl w:val="D3FE3180"/>
    <w:lvl w:ilvl="0" w:tplc="4A7624AA">
      <w:start w:val="1"/>
      <w:numFmt w:val="decimal"/>
      <w:lvlText w:val="%1."/>
      <w:lvlJc w:val="left"/>
      <w:pPr>
        <w:tabs>
          <w:tab w:val="num" w:pos="45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7877BDE"/>
    <w:multiLevelType w:val="hybridMultilevel"/>
    <w:tmpl w:val="D3FE3180"/>
    <w:lvl w:ilvl="0" w:tplc="4A7624AA">
      <w:start w:val="1"/>
      <w:numFmt w:val="decimal"/>
      <w:lvlText w:val="%1."/>
      <w:lvlJc w:val="left"/>
      <w:pPr>
        <w:tabs>
          <w:tab w:val="num" w:pos="45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8A7310D"/>
    <w:multiLevelType w:val="hybridMultilevel"/>
    <w:tmpl w:val="224E4B62"/>
    <w:lvl w:ilvl="0" w:tplc="62E44EE4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01" w:hanging="360"/>
      </w:pPr>
    </w:lvl>
    <w:lvl w:ilvl="2" w:tplc="0405001B" w:tentative="1">
      <w:start w:val="1"/>
      <w:numFmt w:val="lowerRoman"/>
      <w:lvlText w:val="%3."/>
      <w:lvlJc w:val="right"/>
      <w:pPr>
        <w:ind w:left="3521" w:hanging="180"/>
      </w:pPr>
    </w:lvl>
    <w:lvl w:ilvl="3" w:tplc="0405000F" w:tentative="1">
      <w:start w:val="1"/>
      <w:numFmt w:val="decimal"/>
      <w:lvlText w:val="%4."/>
      <w:lvlJc w:val="left"/>
      <w:pPr>
        <w:ind w:left="4241" w:hanging="360"/>
      </w:pPr>
    </w:lvl>
    <w:lvl w:ilvl="4" w:tplc="04050019" w:tentative="1">
      <w:start w:val="1"/>
      <w:numFmt w:val="lowerLetter"/>
      <w:lvlText w:val="%5."/>
      <w:lvlJc w:val="left"/>
      <w:pPr>
        <w:ind w:left="4961" w:hanging="360"/>
      </w:pPr>
    </w:lvl>
    <w:lvl w:ilvl="5" w:tplc="0405001B" w:tentative="1">
      <w:start w:val="1"/>
      <w:numFmt w:val="lowerRoman"/>
      <w:lvlText w:val="%6."/>
      <w:lvlJc w:val="right"/>
      <w:pPr>
        <w:ind w:left="5681" w:hanging="180"/>
      </w:pPr>
    </w:lvl>
    <w:lvl w:ilvl="6" w:tplc="0405000F" w:tentative="1">
      <w:start w:val="1"/>
      <w:numFmt w:val="decimal"/>
      <w:lvlText w:val="%7."/>
      <w:lvlJc w:val="left"/>
      <w:pPr>
        <w:ind w:left="6401" w:hanging="360"/>
      </w:pPr>
    </w:lvl>
    <w:lvl w:ilvl="7" w:tplc="04050019" w:tentative="1">
      <w:start w:val="1"/>
      <w:numFmt w:val="lowerLetter"/>
      <w:lvlText w:val="%8."/>
      <w:lvlJc w:val="left"/>
      <w:pPr>
        <w:ind w:left="7121" w:hanging="360"/>
      </w:pPr>
    </w:lvl>
    <w:lvl w:ilvl="8" w:tplc="040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26" w15:restartNumberingAfterBreak="0">
    <w:nsid w:val="38CD41DD"/>
    <w:multiLevelType w:val="hybridMultilevel"/>
    <w:tmpl w:val="D3FE3180"/>
    <w:lvl w:ilvl="0" w:tplc="4A7624AA">
      <w:start w:val="1"/>
      <w:numFmt w:val="decimal"/>
      <w:lvlText w:val="%1."/>
      <w:lvlJc w:val="left"/>
      <w:pPr>
        <w:tabs>
          <w:tab w:val="num" w:pos="45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B5A3D7D"/>
    <w:multiLevelType w:val="hybridMultilevel"/>
    <w:tmpl w:val="3FC016A2"/>
    <w:lvl w:ilvl="0" w:tplc="9150537C">
      <w:start w:val="1"/>
      <w:numFmt w:val="bullet"/>
      <w:pStyle w:val="Bullet3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F7BFC"/>
    <w:multiLevelType w:val="hybridMultilevel"/>
    <w:tmpl w:val="E6528850"/>
    <w:lvl w:ilvl="0" w:tplc="F4DC37FA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52734DF"/>
    <w:multiLevelType w:val="singleLevel"/>
    <w:tmpl w:val="DDDCE7FA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0" w15:restartNumberingAfterBreak="0">
    <w:nsid w:val="45A7532F"/>
    <w:multiLevelType w:val="hybridMultilevel"/>
    <w:tmpl w:val="891EC920"/>
    <w:lvl w:ilvl="0" w:tplc="199493F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81C21"/>
    <w:multiLevelType w:val="hybridMultilevel"/>
    <w:tmpl w:val="891EC920"/>
    <w:lvl w:ilvl="0" w:tplc="199493F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7D6F02"/>
    <w:multiLevelType w:val="hybridMultilevel"/>
    <w:tmpl w:val="891EC920"/>
    <w:lvl w:ilvl="0" w:tplc="199493F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4240FE"/>
    <w:multiLevelType w:val="hybridMultilevel"/>
    <w:tmpl w:val="891EC920"/>
    <w:lvl w:ilvl="0" w:tplc="199493F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9A4DB4"/>
    <w:multiLevelType w:val="hybridMultilevel"/>
    <w:tmpl w:val="E4E6DCDE"/>
    <w:lvl w:ilvl="0" w:tplc="F594DA32">
      <w:start w:val="1"/>
      <w:numFmt w:val="bullet"/>
      <w:pStyle w:val="Bullet2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54090"/>
    <w:multiLevelType w:val="hybridMultilevel"/>
    <w:tmpl w:val="E6528850"/>
    <w:lvl w:ilvl="0" w:tplc="F4DC37FA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0916022"/>
    <w:multiLevelType w:val="hybridMultilevel"/>
    <w:tmpl w:val="D3FE3180"/>
    <w:lvl w:ilvl="0" w:tplc="4A7624AA">
      <w:start w:val="1"/>
      <w:numFmt w:val="decimal"/>
      <w:lvlText w:val="%1."/>
      <w:lvlJc w:val="left"/>
      <w:pPr>
        <w:tabs>
          <w:tab w:val="num" w:pos="45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A31B09"/>
    <w:multiLevelType w:val="hybridMultilevel"/>
    <w:tmpl w:val="8B2A3998"/>
    <w:lvl w:ilvl="0" w:tplc="DDB03500">
      <w:start w:val="1"/>
      <w:numFmt w:val="bullet"/>
      <w:pStyle w:val="Bullet4"/>
      <w:lvlText w:val=""/>
      <w:lvlJc w:val="left"/>
      <w:pPr>
        <w:tabs>
          <w:tab w:val="num" w:pos="2495"/>
        </w:tabs>
        <w:ind w:left="2495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9F32FD"/>
    <w:multiLevelType w:val="hybridMultilevel"/>
    <w:tmpl w:val="8C9A8546"/>
    <w:lvl w:ilvl="0" w:tplc="D86E79A8">
      <w:start w:val="1"/>
      <w:numFmt w:val="bullet"/>
      <w:pStyle w:val="Bullet1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825E0"/>
    <w:multiLevelType w:val="hybridMultilevel"/>
    <w:tmpl w:val="AFA4AD08"/>
    <w:lvl w:ilvl="0" w:tplc="9BACA0A8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00155F"/>
    <w:multiLevelType w:val="hybridMultilevel"/>
    <w:tmpl w:val="D3FE3180"/>
    <w:lvl w:ilvl="0" w:tplc="4A7624AA">
      <w:start w:val="1"/>
      <w:numFmt w:val="decimal"/>
      <w:lvlText w:val="%1."/>
      <w:lvlJc w:val="left"/>
      <w:pPr>
        <w:tabs>
          <w:tab w:val="num" w:pos="45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1EE057E"/>
    <w:multiLevelType w:val="hybridMultilevel"/>
    <w:tmpl w:val="D3FE3180"/>
    <w:lvl w:ilvl="0" w:tplc="4A7624AA">
      <w:start w:val="1"/>
      <w:numFmt w:val="decimal"/>
      <w:lvlText w:val="%1."/>
      <w:lvlJc w:val="left"/>
      <w:pPr>
        <w:tabs>
          <w:tab w:val="num" w:pos="45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28822DA"/>
    <w:multiLevelType w:val="hybridMultilevel"/>
    <w:tmpl w:val="891EC920"/>
    <w:lvl w:ilvl="0" w:tplc="199493F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423A0"/>
    <w:multiLevelType w:val="hybridMultilevel"/>
    <w:tmpl w:val="D3FE3180"/>
    <w:lvl w:ilvl="0" w:tplc="4A7624AA">
      <w:start w:val="1"/>
      <w:numFmt w:val="decimal"/>
      <w:lvlText w:val="%1."/>
      <w:lvlJc w:val="left"/>
      <w:pPr>
        <w:tabs>
          <w:tab w:val="num" w:pos="45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A375318"/>
    <w:multiLevelType w:val="hybridMultilevel"/>
    <w:tmpl w:val="9146D862"/>
    <w:lvl w:ilvl="0" w:tplc="6134896C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32190"/>
    <w:multiLevelType w:val="hybridMultilevel"/>
    <w:tmpl w:val="891EC920"/>
    <w:lvl w:ilvl="0" w:tplc="199493F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12710"/>
    <w:multiLevelType w:val="hybridMultilevel"/>
    <w:tmpl w:val="58B0EC3A"/>
    <w:lvl w:ilvl="0" w:tplc="D4D6B7B6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4"/>
  </w:num>
  <w:num w:numId="3">
    <w:abstractNumId w:val="15"/>
  </w:num>
  <w:num w:numId="4">
    <w:abstractNumId w:val="38"/>
  </w:num>
  <w:num w:numId="5">
    <w:abstractNumId w:val="34"/>
  </w:num>
  <w:num w:numId="6">
    <w:abstractNumId w:val="27"/>
  </w:num>
  <w:num w:numId="7">
    <w:abstractNumId w:val="37"/>
  </w:num>
  <w:num w:numId="8">
    <w:abstractNumId w:val="18"/>
  </w:num>
  <w:num w:numId="9">
    <w:abstractNumId w:val="39"/>
  </w:num>
  <w:num w:numId="10">
    <w:abstractNumId w:val="7"/>
  </w:num>
  <w:num w:numId="11">
    <w:abstractNumId w:val="8"/>
  </w:num>
  <w:num w:numId="12">
    <w:abstractNumId w:val="3"/>
  </w:num>
  <w:num w:numId="13">
    <w:abstractNumId w:val="12"/>
  </w:num>
  <w:num w:numId="14">
    <w:abstractNumId w:val="25"/>
  </w:num>
  <w:num w:numId="15">
    <w:abstractNumId w:val="2"/>
    <w:lvlOverride w:ilvl="0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24"/>
  </w:num>
  <w:num w:numId="19">
    <w:abstractNumId w:val="28"/>
  </w:num>
  <w:num w:numId="20">
    <w:abstractNumId w:val="41"/>
  </w:num>
  <w:num w:numId="21">
    <w:abstractNumId w:val="13"/>
  </w:num>
  <w:num w:numId="22">
    <w:abstractNumId w:val="26"/>
  </w:num>
  <w:num w:numId="23">
    <w:abstractNumId w:val="43"/>
  </w:num>
  <w:num w:numId="24">
    <w:abstractNumId w:val="40"/>
  </w:num>
  <w:num w:numId="25">
    <w:abstractNumId w:val="35"/>
  </w:num>
  <w:num w:numId="26">
    <w:abstractNumId w:val="14"/>
  </w:num>
  <w:num w:numId="27">
    <w:abstractNumId w:val="23"/>
  </w:num>
  <w:num w:numId="28">
    <w:abstractNumId w:val="10"/>
  </w:num>
  <w:num w:numId="29">
    <w:abstractNumId w:val="21"/>
  </w:num>
  <w:num w:numId="30">
    <w:abstractNumId w:val="36"/>
  </w:num>
  <w:num w:numId="31">
    <w:abstractNumId w:val="4"/>
  </w:num>
  <w:num w:numId="32">
    <w:abstractNumId w:val="17"/>
  </w:num>
  <w:num w:numId="33">
    <w:abstractNumId w:val="46"/>
  </w:num>
  <w:num w:numId="34">
    <w:abstractNumId w:val="5"/>
  </w:num>
  <w:num w:numId="35">
    <w:abstractNumId w:val="11"/>
  </w:num>
  <w:num w:numId="36">
    <w:abstractNumId w:val="42"/>
  </w:num>
  <w:num w:numId="37">
    <w:abstractNumId w:val="30"/>
  </w:num>
  <w:num w:numId="38">
    <w:abstractNumId w:val="31"/>
  </w:num>
  <w:num w:numId="39">
    <w:abstractNumId w:val="32"/>
  </w:num>
  <w:num w:numId="40">
    <w:abstractNumId w:val="33"/>
  </w:num>
  <w:num w:numId="41">
    <w:abstractNumId w:val="45"/>
  </w:num>
  <w:num w:numId="42">
    <w:abstractNumId w:val="0"/>
  </w:num>
  <w:num w:numId="43">
    <w:abstractNumId w:val="20"/>
  </w:num>
  <w:num w:numId="44">
    <w:abstractNumId w:val="1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567" w:hanging="283"/>
        </w:pPr>
        <w:rPr>
          <w:rFonts w:ascii="Times New Roman" w:hAnsi="Times New Roman" w:hint="default"/>
          <w:color w:val="000000"/>
        </w:rPr>
      </w:lvl>
    </w:lvlOverride>
  </w:num>
  <w:num w:numId="45">
    <w:abstractNumId w:val="16"/>
  </w:num>
  <w:num w:numId="46">
    <w:abstractNumId w:val="6"/>
  </w:num>
  <w:num w:numId="47">
    <w:abstractNumId w:val="22"/>
  </w:num>
  <w:num w:numId="48">
    <w:abstractNumId w:val="29"/>
  </w:num>
  <w:num w:numId="49">
    <w:abstractNumId w:val="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680"/>
  <w:autoHyphenation/>
  <w:hyphenationZone w:val="454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8CF"/>
    <w:rsid w:val="00050DA9"/>
    <w:rsid w:val="000733B8"/>
    <w:rsid w:val="000959DF"/>
    <w:rsid w:val="000A3D4A"/>
    <w:rsid w:val="000C2A4C"/>
    <w:rsid w:val="000E59AA"/>
    <w:rsid w:val="000F47E2"/>
    <w:rsid w:val="001226C1"/>
    <w:rsid w:val="00131F05"/>
    <w:rsid w:val="001515E3"/>
    <w:rsid w:val="00151C2D"/>
    <w:rsid w:val="0016264A"/>
    <w:rsid w:val="00167B12"/>
    <w:rsid w:val="00185B2E"/>
    <w:rsid w:val="00192DC0"/>
    <w:rsid w:val="001A6606"/>
    <w:rsid w:val="001A6C4B"/>
    <w:rsid w:val="001B0F69"/>
    <w:rsid w:val="001D767A"/>
    <w:rsid w:val="001E69F7"/>
    <w:rsid w:val="001F4297"/>
    <w:rsid w:val="00202B9E"/>
    <w:rsid w:val="00216C67"/>
    <w:rsid w:val="0026728B"/>
    <w:rsid w:val="00283957"/>
    <w:rsid w:val="002F03F9"/>
    <w:rsid w:val="002F6226"/>
    <w:rsid w:val="00310AA2"/>
    <w:rsid w:val="003135E6"/>
    <w:rsid w:val="003229B0"/>
    <w:rsid w:val="00342579"/>
    <w:rsid w:val="00343A15"/>
    <w:rsid w:val="003446BB"/>
    <w:rsid w:val="003504B5"/>
    <w:rsid w:val="003555D9"/>
    <w:rsid w:val="00361041"/>
    <w:rsid w:val="003656CA"/>
    <w:rsid w:val="00386FEA"/>
    <w:rsid w:val="003A5CFC"/>
    <w:rsid w:val="003B1B2E"/>
    <w:rsid w:val="003D0434"/>
    <w:rsid w:val="003E7A81"/>
    <w:rsid w:val="003F02B6"/>
    <w:rsid w:val="00413183"/>
    <w:rsid w:val="00460E93"/>
    <w:rsid w:val="00485C56"/>
    <w:rsid w:val="0049492E"/>
    <w:rsid w:val="004C005E"/>
    <w:rsid w:val="004C14D6"/>
    <w:rsid w:val="004C57E3"/>
    <w:rsid w:val="004E0D6E"/>
    <w:rsid w:val="005015E2"/>
    <w:rsid w:val="00514AE3"/>
    <w:rsid w:val="005318BC"/>
    <w:rsid w:val="0053553F"/>
    <w:rsid w:val="0054461A"/>
    <w:rsid w:val="00546762"/>
    <w:rsid w:val="00547829"/>
    <w:rsid w:val="00547E9D"/>
    <w:rsid w:val="00557E81"/>
    <w:rsid w:val="00561E76"/>
    <w:rsid w:val="00570A79"/>
    <w:rsid w:val="00594955"/>
    <w:rsid w:val="005B4772"/>
    <w:rsid w:val="005D174C"/>
    <w:rsid w:val="005F2ACE"/>
    <w:rsid w:val="0060797A"/>
    <w:rsid w:val="00624F9D"/>
    <w:rsid w:val="006269F7"/>
    <w:rsid w:val="006276F9"/>
    <w:rsid w:val="00641430"/>
    <w:rsid w:val="0067172D"/>
    <w:rsid w:val="0067636E"/>
    <w:rsid w:val="00686CC1"/>
    <w:rsid w:val="00687ACF"/>
    <w:rsid w:val="006964F9"/>
    <w:rsid w:val="006A669C"/>
    <w:rsid w:val="006C6473"/>
    <w:rsid w:val="006E40D2"/>
    <w:rsid w:val="007032D5"/>
    <w:rsid w:val="00710994"/>
    <w:rsid w:val="0071154C"/>
    <w:rsid w:val="00711F72"/>
    <w:rsid w:val="007143E0"/>
    <w:rsid w:val="00720D69"/>
    <w:rsid w:val="00730840"/>
    <w:rsid w:val="007331CA"/>
    <w:rsid w:val="00733B69"/>
    <w:rsid w:val="007365C8"/>
    <w:rsid w:val="007563A4"/>
    <w:rsid w:val="007568B3"/>
    <w:rsid w:val="00765E43"/>
    <w:rsid w:val="00770F17"/>
    <w:rsid w:val="007A1AEB"/>
    <w:rsid w:val="007A2A65"/>
    <w:rsid w:val="007C2915"/>
    <w:rsid w:val="007D55E1"/>
    <w:rsid w:val="007F1365"/>
    <w:rsid w:val="00803212"/>
    <w:rsid w:val="00805065"/>
    <w:rsid w:val="008104BC"/>
    <w:rsid w:val="00831ACD"/>
    <w:rsid w:val="00833F51"/>
    <w:rsid w:val="00843616"/>
    <w:rsid w:val="00845999"/>
    <w:rsid w:val="00892E98"/>
    <w:rsid w:val="00895A6F"/>
    <w:rsid w:val="008A12B0"/>
    <w:rsid w:val="008D05DD"/>
    <w:rsid w:val="008D33BF"/>
    <w:rsid w:val="008E1A08"/>
    <w:rsid w:val="008E1C9E"/>
    <w:rsid w:val="00910E6C"/>
    <w:rsid w:val="0094160A"/>
    <w:rsid w:val="009423BA"/>
    <w:rsid w:val="00950B6D"/>
    <w:rsid w:val="00950CB4"/>
    <w:rsid w:val="00967971"/>
    <w:rsid w:val="0098139D"/>
    <w:rsid w:val="0099003F"/>
    <w:rsid w:val="009E272A"/>
    <w:rsid w:val="009E6476"/>
    <w:rsid w:val="009F0BB7"/>
    <w:rsid w:val="00A04D24"/>
    <w:rsid w:val="00A074A1"/>
    <w:rsid w:val="00A12B86"/>
    <w:rsid w:val="00A12E02"/>
    <w:rsid w:val="00A148FD"/>
    <w:rsid w:val="00A24A22"/>
    <w:rsid w:val="00A3502C"/>
    <w:rsid w:val="00A442C9"/>
    <w:rsid w:val="00A46CD9"/>
    <w:rsid w:val="00A46FCF"/>
    <w:rsid w:val="00A54C7F"/>
    <w:rsid w:val="00A92AA9"/>
    <w:rsid w:val="00AA737E"/>
    <w:rsid w:val="00AF5B23"/>
    <w:rsid w:val="00AF69E0"/>
    <w:rsid w:val="00B01764"/>
    <w:rsid w:val="00B13202"/>
    <w:rsid w:val="00B17EF4"/>
    <w:rsid w:val="00B26E03"/>
    <w:rsid w:val="00B3199B"/>
    <w:rsid w:val="00B51798"/>
    <w:rsid w:val="00B51DD7"/>
    <w:rsid w:val="00B7490F"/>
    <w:rsid w:val="00B90A46"/>
    <w:rsid w:val="00B93883"/>
    <w:rsid w:val="00BB2398"/>
    <w:rsid w:val="00BB77AD"/>
    <w:rsid w:val="00C0126C"/>
    <w:rsid w:val="00C0444F"/>
    <w:rsid w:val="00C0563C"/>
    <w:rsid w:val="00C47A4A"/>
    <w:rsid w:val="00C508E5"/>
    <w:rsid w:val="00C52FC7"/>
    <w:rsid w:val="00C56572"/>
    <w:rsid w:val="00C60EFF"/>
    <w:rsid w:val="00C728CF"/>
    <w:rsid w:val="00C735C5"/>
    <w:rsid w:val="00C77FCF"/>
    <w:rsid w:val="00C80C44"/>
    <w:rsid w:val="00C832ED"/>
    <w:rsid w:val="00C91460"/>
    <w:rsid w:val="00CA38B9"/>
    <w:rsid w:val="00CB2B85"/>
    <w:rsid w:val="00CB3026"/>
    <w:rsid w:val="00CD4231"/>
    <w:rsid w:val="00CE00EF"/>
    <w:rsid w:val="00CF789C"/>
    <w:rsid w:val="00D05010"/>
    <w:rsid w:val="00D36285"/>
    <w:rsid w:val="00D53DCE"/>
    <w:rsid w:val="00D82F14"/>
    <w:rsid w:val="00D94978"/>
    <w:rsid w:val="00DB6F6C"/>
    <w:rsid w:val="00DC2109"/>
    <w:rsid w:val="00DD3AB1"/>
    <w:rsid w:val="00DD5623"/>
    <w:rsid w:val="00DD59FB"/>
    <w:rsid w:val="00DE5442"/>
    <w:rsid w:val="00DE5453"/>
    <w:rsid w:val="00DF3A28"/>
    <w:rsid w:val="00E14077"/>
    <w:rsid w:val="00E25E60"/>
    <w:rsid w:val="00E26AD1"/>
    <w:rsid w:val="00E30922"/>
    <w:rsid w:val="00E413BF"/>
    <w:rsid w:val="00E456BF"/>
    <w:rsid w:val="00E86361"/>
    <w:rsid w:val="00E930AF"/>
    <w:rsid w:val="00E94323"/>
    <w:rsid w:val="00EA43DC"/>
    <w:rsid w:val="00EB094D"/>
    <w:rsid w:val="00EC30F9"/>
    <w:rsid w:val="00EC3B4F"/>
    <w:rsid w:val="00EE5598"/>
    <w:rsid w:val="00EF6B2E"/>
    <w:rsid w:val="00F01A62"/>
    <w:rsid w:val="00F10B34"/>
    <w:rsid w:val="00F174E8"/>
    <w:rsid w:val="00F5247F"/>
    <w:rsid w:val="00F6269A"/>
    <w:rsid w:val="00F75306"/>
    <w:rsid w:val="00F75DE1"/>
    <w:rsid w:val="00F87F3B"/>
    <w:rsid w:val="00F92C0F"/>
    <w:rsid w:val="00FA3324"/>
    <w:rsid w:val="00FB2A3B"/>
    <w:rsid w:val="00FB73D4"/>
    <w:rsid w:val="00FC2221"/>
    <w:rsid w:val="00FC6DD3"/>
    <w:rsid w:val="00FD4569"/>
    <w:rsid w:val="00FD6B79"/>
    <w:rsid w:val="00FE223A"/>
    <w:rsid w:val="00FF1295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EC07"/>
  <w15:docId w15:val="{3F45733D-5DB6-4382-A222-2E6DB269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semiHidden="1" w:uiPriority="0" w:unhideWhenUsed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95A6F"/>
  </w:style>
  <w:style w:type="paragraph" w:styleId="Nadpis1">
    <w:name w:val="heading 1"/>
    <w:basedOn w:val="Normln"/>
    <w:next w:val="Normln"/>
    <w:link w:val="Nadpis1Char"/>
    <w:qFormat/>
    <w:rsid w:val="00950CB4"/>
    <w:pPr>
      <w:keepNext/>
      <w:numPr>
        <w:numId w:val="42"/>
      </w:numPr>
      <w:overflowPunct w:val="0"/>
      <w:autoSpaceDE w:val="0"/>
      <w:autoSpaceDN w:val="0"/>
      <w:adjustRightInd w:val="0"/>
      <w:spacing w:before="600" w:after="240"/>
      <w:jc w:val="both"/>
      <w:textAlignment w:val="baseline"/>
      <w:outlineLvl w:val="0"/>
    </w:pPr>
    <w:rPr>
      <w:rFonts w:ascii="Arial" w:eastAsia="Times New Roman" w:hAnsi="Arial" w:cs="Times New Roman"/>
      <w:b/>
      <w:kern w:val="28"/>
      <w:sz w:val="28"/>
      <w:lang w:eastAsia="cs-CZ"/>
    </w:rPr>
  </w:style>
  <w:style w:type="paragraph" w:styleId="Nadpis2">
    <w:name w:val="heading 2"/>
    <w:basedOn w:val="Nadpis1"/>
    <w:next w:val="Normln"/>
    <w:link w:val="Nadpis2Char"/>
    <w:qFormat/>
    <w:rsid w:val="00950CB4"/>
    <w:pPr>
      <w:numPr>
        <w:ilvl w:val="1"/>
      </w:numPr>
      <w:tabs>
        <w:tab w:val="clear" w:pos="0"/>
        <w:tab w:val="num" w:pos="720"/>
      </w:tabs>
      <w:spacing w:before="360" w:after="120"/>
      <w:ind w:left="720" w:hanging="720"/>
      <w:outlineLvl w:val="1"/>
    </w:pPr>
    <w:rPr>
      <w:sz w:val="24"/>
      <w:szCs w:val="22"/>
    </w:rPr>
  </w:style>
  <w:style w:type="paragraph" w:styleId="Nadpis3">
    <w:name w:val="heading 3"/>
    <w:basedOn w:val="Nadpis1"/>
    <w:next w:val="Normln"/>
    <w:link w:val="Nadpis3Char"/>
    <w:qFormat/>
    <w:rsid w:val="00950CB4"/>
    <w:pPr>
      <w:keepNext w:val="0"/>
      <w:numPr>
        <w:ilvl w:val="2"/>
      </w:numPr>
      <w:spacing w:before="240" w:after="0"/>
      <w:outlineLvl w:val="2"/>
    </w:pPr>
    <w:rPr>
      <w:b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ody Text"/>
    <w:basedOn w:val="Normln"/>
    <w:link w:val="ZkladntextChar"/>
    <w:uiPriority w:val="99"/>
    <w:rsid w:val="00B26E03"/>
    <w:pPr>
      <w:spacing w:after="200" w:line="252" w:lineRule="auto"/>
      <w:jc w:val="both"/>
    </w:pPr>
  </w:style>
  <w:style w:type="character" w:customStyle="1" w:styleId="ZkladntextChar">
    <w:name w:val="Základní text Char"/>
    <w:aliases w:val="Body Text Char"/>
    <w:basedOn w:val="Standardnpsmoodstavce"/>
    <w:link w:val="Zkladntext"/>
    <w:uiPriority w:val="99"/>
    <w:rsid w:val="00B26E03"/>
  </w:style>
  <w:style w:type="paragraph" w:styleId="Zkladntext2">
    <w:name w:val="Body Text 2"/>
    <w:aliases w:val="Body Text 2"/>
    <w:basedOn w:val="Zkladntext"/>
    <w:link w:val="Zkladntext2Char"/>
    <w:uiPriority w:val="99"/>
    <w:rsid w:val="00C728CF"/>
    <w:pPr>
      <w:ind w:left="680"/>
    </w:pPr>
  </w:style>
  <w:style w:type="character" w:customStyle="1" w:styleId="Zkladntext2Char">
    <w:name w:val="Základní text 2 Char"/>
    <w:aliases w:val="Body Text 2 Char"/>
    <w:basedOn w:val="Standardnpsmoodstavce"/>
    <w:link w:val="Zkladntext2"/>
    <w:uiPriority w:val="99"/>
    <w:rsid w:val="007568B3"/>
    <w:rPr>
      <w:rFonts w:ascii="Times New Roman" w:hAnsi="Times New Roman"/>
      <w:sz w:val="24"/>
    </w:rPr>
  </w:style>
  <w:style w:type="paragraph" w:styleId="Zkladntext3">
    <w:name w:val="Body Text 3"/>
    <w:aliases w:val="Body Text 3"/>
    <w:basedOn w:val="Zkladntext"/>
    <w:link w:val="Zkladntext3Char"/>
    <w:uiPriority w:val="99"/>
    <w:rsid w:val="00C728CF"/>
    <w:pPr>
      <w:ind w:left="1361"/>
    </w:pPr>
    <w:rPr>
      <w:szCs w:val="16"/>
    </w:rPr>
  </w:style>
  <w:style w:type="character" w:customStyle="1" w:styleId="Zkladntext3Char">
    <w:name w:val="Základní text 3 Char"/>
    <w:aliases w:val="Body Text 3 Char"/>
    <w:basedOn w:val="Standardnpsmoodstavce"/>
    <w:link w:val="Zkladntext3"/>
    <w:uiPriority w:val="99"/>
    <w:rsid w:val="007568B3"/>
    <w:rPr>
      <w:rFonts w:ascii="Times New Roman" w:hAnsi="Times New Roman"/>
      <w:sz w:val="24"/>
      <w:szCs w:val="16"/>
    </w:rPr>
  </w:style>
  <w:style w:type="paragraph" w:customStyle="1" w:styleId="Zkladntext4">
    <w:name w:val="Základní text 4"/>
    <w:aliases w:val="Body Text 4"/>
    <w:basedOn w:val="Zkladntext"/>
    <w:link w:val="Zkladntext4Char"/>
    <w:uiPriority w:val="99"/>
    <w:rsid w:val="007568B3"/>
    <w:pPr>
      <w:ind w:left="2041"/>
    </w:pPr>
  </w:style>
  <w:style w:type="paragraph" w:customStyle="1" w:styleId="Zkladntext5">
    <w:name w:val="Základní text 5"/>
    <w:aliases w:val="Body Text 5"/>
    <w:basedOn w:val="Zkladntext"/>
    <w:link w:val="Zkladntext5Char"/>
    <w:uiPriority w:val="99"/>
    <w:rsid w:val="007568B3"/>
    <w:pPr>
      <w:ind w:left="2722"/>
    </w:pPr>
  </w:style>
  <w:style w:type="paragraph" w:customStyle="1" w:styleId="Level1">
    <w:name w:val="Level 1"/>
    <w:basedOn w:val="Zkladntext"/>
    <w:next w:val="Level2"/>
    <w:qFormat/>
    <w:rsid w:val="00A3502C"/>
    <w:pPr>
      <w:keepNext/>
      <w:numPr>
        <w:numId w:val="1"/>
      </w:numPr>
      <w:spacing w:before="480"/>
    </w:pPr>
    <w:rPr>
      <w:b/>
      <w:caps/>
    </w:rPr>
  </w:style>
  <w:style w:type="paragraph" w:customStyle="1" w:styleId="Level2">
    <w:name w:val="Level 2"/>
    <w:basedOn w:val="Zkladntext"/>
    <w:link w:val="Level2Char"/>
    <w:qFormat/>
    <w:rsid w:val="00A3502C"/>
    <w:pPr>
      <w:numPr>
        <w:ilvl w:val="1"/>
        <w:numId w:val="1"/>
      </w:numPr>
    </w:pPr>
  </w:style>
  <w:style w:type="paragraph" w:customStyle="1" w:styleId="Level3">
    <w:name w:val="Level 3"/>
    <w:basedOn w:val="Zkladntext"/>
    <w:qFormat/>
    <w:rsid w:val="00A3502C"/>
    <w:pPr>
      <w:numPr>
        <w:ilvl w:val="2"/>
        <w:numId w:val="1"/>
      </w:numPr>
    </w:pPr>
  </w:style>
  <w:style w:type="paragraph" w:customStyle="1" w:styleId="Signatureblock">
    <w:name w:val="Signature block"/>
    <w:basedOn w:val="Zkladntext"/>
    <w:uiPriority w:val="6"/>
    <w:qFormat/>
    <w:rsid w:val="00A3502C"/>
    <w:pPr>
      <w:spacing w:after="0"/>
    </w:pPr>
  </w:style>
  <w:style w:type="paragraph" w:customStyle="1" w:styleId="Alpha1">
    <w:name w:val="Alpha 1"/>
    <w:basedOn w:val="Zkladntext"/>
    <w:rsid w:val="00413183"/>
    <w:pPr>
      <w:numPr>
        <w:numId w:val="14"/>
      </w:numPr>
    </w:pPr>
  </w:style>
  <w:style w:type="paragraph" w:customStyle="1" w:styleId="Alpha2">
    <w:name w:val="Alpha 2"/>
    <w:basedOn w:val="Zkladntext"/>
    <w:uiPriority w:val="1"/>
    <w:rsid w:val="00910E6C"/>
    <w:pPr>
      <w:numPr>
        <w:numId w:val="16"/>
      </w:numPr>
      <w:spacing w:line="264" w:lineRule="auto"/>
    </w:pPr>
  </w:style>
  <w:style w:type="paragraph" w:customStyle="1" w:styleId="Alpha3">
    <w:name w:val="Alpha 3"/>
    <w:basedOn w:val="Zkladntext"/>
    <w:uiPriority w:val="1"/>
    <w:rsid w:val="0067172D"/>
    <w:pPr>
      <w:numPr>
        <w:numId w:val="2"/>
      </w:numPr>
    </w:pPr>
  </w:style>
  <w:style w:type="paragraph" w:customStyle="1" w:styleId="Alpha4">
    <w:name w:val="Alpha 4"/>
    <w:basedOn w:val="Zkladntext"/>
    <w:uiPriority w:val="1"/>
    <w:rsid w:val="0067172D"/>
    <w:pPr>
      <w:numPr>
        <w:numId w:val="3"/>
      </w:numPr>
    </w:pPr>
  </w:style>
  <w:style w:type="paragraph" w:customStyle="1" w:styleId="Bullet1">
    <w:name w:val="Bullet 1"/>
    <w:basedOn w:val="Zkladntext"/>
    <w:uiPriority w:val="3"/>
    <w:rsid w:val="0026728B"/>
    <w:pPr>
      <w:numPr>
        <w:numId w:val="4"/>
      </w:numPr>
    </w:pPr>
  </w:style>
  <w:style w:type="paragraph" w:customStyle="1" w:styleId="Bullet2">
    <w:name w:val="Bullet 2"/>
    <w:basedOn w:val="Zkladntext"/>
    <w:qFormat/>
    <w:rsid w:val="0026728B"/>
    <w:pPr>
      <w:numPr>
        <w:numId w:val="5"/>
      </w:numPr>
    </w:pPr>
  </w:style>
  <w:style w:type="paragraph" w:customStyle="1" w:styleId="Bullet3">
    <w:name w:val="Bullet 3"/>
    <w:basedOn w:val="Zkladntext"/>
    <w:uiPriority w:val="3"/>
    <w:rsid w:val="0026728B"/>
    <w:pPr>
      <w:numPr>
        <w:numId w:val="6"/>
      </w:numPr>
    </w:pPr>
  </w:style>
  <w:style w:type="paragraph" w:customStyle="1" w:styleId="Bullet4">
    <w:name w:val="Bullet 4"/>
    <w:basedOn w:val="Zkladntext"/>
    <w:uiPriority w:val="3"/>
    <w:rsid w:val="0026728B"/>
    <w:pPr>
      <w:numPr>
        <w:numId w:val="7"/>
      </w:numPr>
    </w:pPr>
  </w:style>
  <w:style w:type="paragraph" w:customStyle="1" w:styleId="Parties">
    <w:name w:val="Parties"/>
    <w:basedOn w:val="Zkladntext"/>
    <w:uiPriority w:val="4"/>
    <w:qFormat/>
    <w:rsid w:val="00514AE3"/>
    <w:pPr>
      <w:numPr>
        <w:numId w:val="12"/>
      </w:numPr>
    </w:pPr>
  </w:style>
  <w:style w:type="paragraph" w:customStyle="1" w:styleId="Recitals">
    <w:name w:val="Recitals"/>
    <w:basedOn w:val="Zkladntext"/>
    <w:uiPriority w:val="5"/>
    <w:qFormat/>
    <w:rsid w:val="00514AE3"/>
    <w:pPr>
      <w:numPr>
        <w:numId w:val="13"/>
      </w:numPr>
    </w:pPr>
  </w:style>
  <w:style w:type="paragraph" w:customStyle="1" w:styleId="Roman1">
    <w:name w:val="Roman 1"/>
    <w:basedOn w:val="Zkladntext"/>
    <w:uiPriority w:val="2"/>
    <w:rsid w:val="00A074A1"/>
    <w:pPr>
      <w:numPr>
        <w:numId w:val="8"/>
      </w:numPr>
    </w:pPr>
  </w:style>
  <w:style w:type="paragraph" w:customStyle="1" w:styleId="Roman2">
    <w:name w:val="Roman 2"/>
    <w:basedOn w:val="Zkladntext"/>
    <w:rsid w:val="00A074A1"/>
    <w:pPr>
      <w:numPr>
        <w:numId w:val="9"/>
      </w:numPr>
    </w:pPr>
  </w:style>
  <w:style w:type="paragraph" w:customStyle="1" w:styleId="Roman3">
    <w:name w:val="Roman 3"/>
    <w:basedOn w:val="Zkladntext"/>
    <w:uiPriority w:val="2"/>
    <w:rsid w:val="00EF6B2E"/>
    <w:pPr>
      <w:numPr>
        <w:numId w:val="10"/>
      </w:numPr>
    </w:pPr>
  </w:style>
  <w:style w:type="paragraph" w:customStyle="1" w:styleId="Roman4">
    <w:name w:val="Roman 4"/>
    <w:basedOn w:val="Zkladntext"/>
    <w:uiPriority w:val="2"/>
    <w:rsid w:val="003D0434"/>
    <w:pPr>
      <w:numPr>
        <w:numId w:val="11"/>
      </w:numPr>
    </w:pPr>
  </w:style>
  <w:style w:type="paragraph" w:styleId="Zhlav">
    <w:name w:val="header"/>
    <w:basedOn w:val="Normln"/>
    <w:link w:val="ZhlavChar"/>
    <w:rsid w:val="00FB73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73D4"/>
  </w:style>
  <w:style w:type="paragraph" w:styleId="Zpat">
    <w:name w:val="footer"/>
    <w:basedOn w:val="Normln"/>
    <w:link w:val="ZpatChar"/>
    <w:uiPriority w:val="99"/>
    <w:rsid w:val="00FB73D4"/>
    <w:pPr>
      <w:jc w:val="center"/>
    </w:pPr>
  </w:style>
  <w:style w:type="character" w:customStyle="1" w:styleId="ZpatChar">
    <w:name w:val="Zápatí Char"/>
    <w:basedOn w:val="Standardnpsmoodstavce"/>
    <w:link w:val="Zpat"/>
    <w:uiPriority w:val="99"/>
    <w:rsid w:val="00FB73D4"/>
    <w:rPr>
      <w:sz w:val="22"/>
    </w:rPr>
  </w:style>
  <w:style w:type="paragraph" w:styleId="Nzev">
    <w:name w:val="Title"/>
    <w:aliases w:val="Title"/>
    <w:basedOn w:val="Zkladntext"/>
    <w:next w:val="Zkladntext"/>
    <w:link w:val="NzevChar"/>
    <w:uiPriority w:val="10"/>
    <w:rsid w:val="00DF3A28"/>
    <w:pPr>
      <w:spacing w:after="360"/>
      <w:jc w:val="center"/>
    </w:pPr>
    <w:rPr>
      <w:rFonts w:eastAsiaTheme="majorEastAsia" w:cstheme="majorBidi"/>
      <w:b/>
      <w:caps/>
      <w:spacing w:val="4"/>
      <w:kern w:val="28"/>
      <w:sz w:val="26"/>
      <w:szCs w:val="52"/>
    </w:rPr>
  </w:style>
  <w:style w:type="character" w:customStyle="1" w:styleId="NzevChar">
    <w:name w:val="Název Char"/>
    <w:aliases w:val="Title Char"/>
    <w:basedOn w:val="Standardnpsmoodstavce"/>
    <w:link w:val="Nzev"/>
    <w:uiPriority w:val="10"/>
    <w:rsid w:val="00DF3A28"/>
    <w:rPr>
      <w:rFonts w:eastAsiaTheme="majorEastAsia" w:cstheme="majorBidi"/>
      <w:b/>
      <w:caps/>
      <w:spacing w:val="4"/>
      <w:kern w:val="28"/>
      <w:sz w:val="26"/>
      <w:szCs w:val="52"/>
    </w:rPr>
  </w:style>
  <w:style w:type="character" w:customStyle="1" w:styleId="Zkladntext4Char">
    <w:name w:val="Základní text 4 Char"/>
    <w:aliases w:val="Body Text 4 Char"/>
    <w:basedOn w:val="ZkladntextChar"/>
    <w:link w:val="Zkladntext4"/>
    <w:uiPriority w:val="99"/>
    <w:rsid w:val="00514AE3"/>
    <w:rPr>
      <w:rFonts w:ascii="Times New Roman" w:hAnsi="Times New Roman"/>
      <w:sz w:val="24"/>
    </w:rPr>
  </w:style>
  <w:style w:type="character" w:customStyle="1" w:styleId="Zkladntext5Char">
    <w:name w:val="Základní text 5 Char"/>
    <w:aliases w:val="Body Text 5 Char"/>
    <w:basedOn w:val="ZkladntextChar"/>
    <w:link w:val="Zkladntext5"/>
    <w:uiPriority w:val="99"/>
    <w:rsid w:val="00514AE3"/>
    <w:rPr>
      <w:rFonts w:ascii="Times New Roman" w:hAnsi="Times New Roman"/>
      <w:sz w:val="24"/>
    </w:rPr>
  </w:style>
  <w:style w:type="paragraph" w:customStyle="1" w:styleId="Headingblock">
    <w:name w:val="Heading block"/>
    <w:basedOn w:val="Zkladntext"/>
    <w:uiPriority w:val="6"/>
    <w:qFormat/>
    <w:rsid w:val="00310AA2"/>
    <w:pPr>
      <w:spacing w:after="0"/>
    </w:pPr>
  </w:style>
  <w:style w:type="paragraph" w:customStyle="1" w:styleId="Recitalheading">
    <w:name w:val="Recital heading"/>
    <w:basedOn w:val="Zkladntext"/>
    <w:next w:val="Recitals"/>
    <w:uiPriority w:val="5"/>
    <w:rsid w:val="00A148FD"/>
    <w:pPr>
      <w:keepNext/>
      <w:spacing w:before="480"/>
    </w:pPr>
    <w:rPr>
      <w:b/>
      <w:caps/>
    </w:rPr>
  </w:style>
  <w:style w:type="table" w:styleId="Mkatabulky">
    <w:name w:val="Table Grid"/>
    <w:basedOn w:val="Normlntabulka"/>
    <w:uiPriority w:val="59"/>
    <w:rsid w:val="00E30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2Char">
    <w:name w:val="Level 2 Char"/>
    <w:link w:val="Level2"/>
    <w:rsid w:val="000E59AA"/>
  </w:style>
  <w:style w:type="character" w:styleId="Odkaznakoment">
    <w:name w:val="annotation reference"/>
    <w:basedOn w:val="Standardnpsmoodstavce"/>
    <w:semiHidden/>
    <w:unhideWhenUsed/>
    <w:rsid w:val="00686CC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86CC1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6CC1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C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CC1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6C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CC1"/>
    <w:rPr>
      <w:rFonts w:ascii="Segoe UI" w:hAnsi="Segoe UI" w:cs="Segoe UI"/>
      <w:sz w:val="18"/>
      <w:szCs w:val="18"/>
    </w:rPr>
  </w:style>
  <w:style w:type="paragraph" w:customStyle="1" w:styleId="Zkladntabulka">
    <w:name w:val="Základní tabulka"/>
    <w:basedOn w:val="Zkladntext"/>
    <w:rsid w:val="003504B5"/>
    <w:pPr>
      <w:suppressAutoHyphens/>
      <w:spacing w:before="40" w:after="40"/>
      <w:jc w:val="left"/>
    </w:pPr>
    <w:rPr>
      <w:rFonts w:eastAsia="Times New Roman" w:cs="Times New Roman"/>
      <w:sz w:val="23"/>
      <w:szCs w:val="20"/>
      <w:lang w:eastAsia="cs-CZ"/>
    </w:rPr>
  </w:style>
  <w:style w:type="paragraph" w:styleId="Revize">
    <w:name w:val="Revision"/>
    <w:hidden/>
    <w:uiPriority w:val="99"/>
    <w:semiHidden/>
    <w:rsid w:val="00557E81"/>
  </w:style>
  <w:style w:type="character" w:styleId="Hypertextovodkaz">
    <w:name w:val="Hyperlink"/>
    <w:semiHidden/>
    <w:unhideWhenUsed/>
    <w:rsid w:val="00770F17"/>
    <w:rPr>
      <w:color w:val="0000FF"/>
      <w:u w:val="single"/>
    </w:rPr>
  </w:style>
  <w:style w:type="paragraph" w:customStyle="1" w:styleId="Smlouva-slo">
    <w:name w:val="Smlouva-číslo"/>
    <w:basedOn w:val="Normln"/>
    <w:rsid w:val="00770F17"/>
    <w:pPr>
      <w:spacing w:before="120" w:line="240" w:lineRule="atLeast"/>
      <w:jc w:val="both"/>
    </w:pPr>
    <w:rPr>
      <w:rFonts w:eastAsia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765E43"/>
    <w:pPr>
      <w:ind w:left="720"/>
      <w:contextualSpacing/>
    </w:pPr>
    <w:rPr>
      <w:rFonts w:ascii="Arial" w:eastAsia="Times New Roman" w:hAnsi="Arial" w:cs="Arial"/>
      <w:sz w:val="22"/>
      <w:szCs w:val="22"/>
      <w:lang w:eastAsia="cs-CZ"/>
    </w:rPr>
  </w:style>
  <w:style w:type="paragraph" w:customStyle="1" w:styleId="lnek">
    <w:name w:val="Článek"/>
    <w:basedOn w:val="Normln"/>
    <w:qFormat/>
    <w:rsid w:val="00845999"/>
    <w:pPr>
      <w:keepNext/>
      <w:spacing w:before="480" w:after="240"/>
      <w:jc w:val="center"/>
    </w:pPr>
    <w:rPr>
      <w:rFonts w:ascii="Arial" w:eastAsia="Times New Roman" w:hAnsi="Arial" w:cs="Arial"/>
      <w:b/>
      <w:sz w:val="22"/>
      <w:szCs w:val="22"/>
      <w:lang w:eastAsia="cs-CZ"/>
    </w:rPr>
  </w:style>
  <w:style w:type="character" w:customStyle="1" w:styleId="Nadpis1Char">
    <w:name w:val="Nadpis 1 Char"/>
    <w:basedOn w:val="Standardnpsmoodstavce"/>
    <w:link w:val="Nadpis1"/>
    <w:rsid w:val="00950CB4"/>
    <w:rPr>
      <w:rFonts w:ascii="Arial" w:eastAsia="Times New Roman" w:hAnsi="Arial" w:cs="Times New Roman"/>
      <w:b/>
      <w:kern w:val="28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950CB4"/>
    <w:rPr>
      <w:rFonts w:ascii="Arial" w:eastAsia="Times New Roman" w:hAnsi="Arial" w:cs="Times New Roman"/>
      <w:b/>
      <w:kern w:val="28"/>
      <w:szCs w:val="22"/>
      <w:lang w:eastAsia="cs-CZ"/>
    </w:rPr>
  </w:style>
  <w:style w:type="character" w:customStyle="1" w:styleId="Nadpis3Char">
    <w:name w:val="Nadpis 3 Char"/>
    <w:basedOn w:val="Standardnpsmoodstavce"/>
    <w:link w:val="Nadpis3"/>
    <w:rsid w:val="00950CB4"/>
    <w:rPr>
      <w:rFonts w:ascii="Arial" w:eastAsia="Times New Roman" w:hAnsi="Arial" w:cs="Times New Roman"/>
      <w:kern w:val="28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A64D5-9DFF-4F39-A541-D0BCC4C8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2000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uzavření budoucí smlouvy o dodávce tepelné energie</vt:lpstr>
    </vt:vector>
  </TitlesOfParts>
  <Company>K&amp;P</Company>
  <LinksUpToDate>false</LinksUpToDate>
  <CharactersWithSpaces>13775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uzavření budoucí smlouvy o dodávce tepelné energie</dc:title>
  <dc:creator>K&amp;P</dc:creator>
  <cp:lastModifiedBy>Lucie Brodská</cp:lastModifiedBy>
  <cp:revision>3</cp:revision>
  <cp:lastPrinted>2019-12-31T09:27:00Z</cp:lastPrinted>
  <dcterms:created xsi:type="dcterms:W3CDTF">2019-12-31T09:20:00Z</dcterms:created>
  <dcterms:modified xsi:type="dcterms:W3CDTF">2019-12-31T09:37:00Z</dcterms:modified>
</cp:coreProperties>
</file>