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30DB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  <w:bookmarkStart w:id="0" w:name="_GoBack"/>
      <w:bookmarkEnd w:id="0"/>
      <w:r w:rsidRPr="002D34C4">
        <w:rPr>
          <w:rFonts w:ascii="Calibri" w:eastAsia="Times New Roman" w:hAnsi="Calibri" w:cs="Times New Roman"/>
          <w:b/>
          <w:sz w:val="32"/>
          <w:szCs w:val="32"/>
          <w:lang w:eastAsia="cs-CZ"/>
        </w:rPr>
        <w:t>Smlouva o zřízení věcného břemene</w:t>
      </w:r>
    </w:p>
    <w:p w14:paraId="7CAA0272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212CCBCC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uzavřená podle ustanovení § 59 odst. 2 zákona č. 458/2000Sb., energetický zákon, v platném znění</w:t>
      </w:r>
    </w:p>
    <w:p w14:paraId="4E9318AA" w14:textId="444FCD40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a § 1257 a následujících ustanovení zákona č. 89/2012 Sb., </w:t>
      </w:r>
      <w:r w:rsidR="00CF7366">
        <w:rPr>
          <w:rFonts w:ascii="Calibri" w:eastAsia="Times New Roman" w:hAnsi="Calibri" w:cs="Times New Roman"/>
          <w:lang w:eastAsia="cs-CZ"/>
        </w:rPr>
        <w:t>o</w:t>
      </w:r>
      <w:r w:rsidRPr="002D34C4">
        <w:rPr>
          <w:rFonts w:ascii="Calibri" w:eastAsia="Times New Roman" w:hAnsi="Calibri" w:cs="Times New Roman"/>
          <w:lang w:eastAsia="cs-CZ"/>
        </w:rPr>
        <w:t>bčanský zákoník, v platném znění</w:t>
      </w:r>
    </w:p>
    <w:p w14:paraId="7C261D80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5D46BF58" w14:textId="77777777" w:rsidR="002D34C4" w:rsidRPr="0041333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Číslo </w:t>
      </w:r>
      <w:r w:rsidRPr="00413334">
        <w:rPr>
          <w:rFonts w:ascii="Calibri" w:eastAsia="Times New Roman" w:hAnsi="Calibri" w:cs="Times New Roman"/>
          <w:lang w:eastAsia="cs-CZ"/>
        </w:rPr>
        <w:t xml:space="preserve">smlouvy: 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FC4D96">
        <w:rPr>
          <w:rFonts w:ascii="Calibri" w:eastAsia="Times New Roman" w:hAnsi="Calibri" w:cs="Times New Roman"/>
          <w:lang w:eastAsia="cs-CZ"/>
        </w:rPr>
        <w:t>1245/2018/OOBCH</w:t>
      </w:r>
    </w:p>
    <w:p w14:paraId="7E2778F1" w14:textId="77777777" w:rsidR="002D34C4" w:rsidRPr="0041333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4B57BDEB" w14:textId="77777777" w:rsidR="002D34C4" w:rsidRPr="0041333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001DD0B1" w14:textId="77777777" w:rsidR="002D34C4" w:rsidRPr="0041333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413334">
        <w:rPr>
          <w:rFonts w:ascii="Calibri" w:eastAsia="Times New Roman" w:hAnsi="Calibri" w:cs="Times New Roman"/>
          <w:b/>
          <w:lang w:eastAsia="cs-CZ"/>
        </w:rPr>
        <w:t>Smluvní strany</w:t>
      </w:r>
    </w:p>
    <w:p w14:paraId="12DBD47F" w14:textId="77777777" w:rsidR="002D34C4" w:rsidRPr="0041333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1673B67A" w14:textId="77777777" w:rsidR="002D34C4" w:rsidRPr="00FC4D96" w:rsidRDefault="00FC4D96" w:rsidP="000C1429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FC4D96">
        <w:rPr>
          <w:rFonts w:ascii="Calibri" w:eastAsia="Times New Roman" w:hAnsi="Calibri" w:cs="Times New Roman"/>
          <w:b/>
          <w:lang w:eastAsia="cs-CZ"/>
        </w:rPr>
        <w:t>Městská část Praha 18</w:t>
      </w:r>
    </w:p>
    <w:p w14:paraId="702C19DA" w14:textId="164DAA08" w:rsidR="002D34C4" w:rsidRPr="00413334" w:rsidRDefault="002D34C4" w:rsidP="000C1429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413334">
        <w:rPr>
          <w:rFonts w:ascii="Calibri" w:eastAsia="Times New Roman" w:hAnsi="Calibri" w:cs="Times New Roman"/>
          <w:lang w:eastAsia="cs-CZ"/>
        </w:rPr>
        <w:t>se sídlem: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FC4D96">
        <w:rPr>
          <w:rFonts w:ascii="Calibri" w:eastAsia="Times New Roman" w:hAnsi="Calibri" w:cs="Times New Roman"/>
          <w:lang w:eastAsia="cs-CZ"/>
        </w:rPr>
        <w:t>Bechyňská 639, 199 00 Praha 9</w:t>
      </w:r>
      <w:r w:rsidR="00DF6AC9">
        <w:rPr>
          <w:rFonts w:ascii="Calibri" w:eastAsia="Times New Roman" w:hAnsi="Calibri" w:cs="Times New Roman"/>
          <w:lang w:eastAsia="cs-CZ"/>
        </w:rPr>
        <w:t xml:space="preserve"> Letňany</w:t>
      </w:r>
      <w:r w:rsidRPr="00413334">
        <w:rPr>
          <w:rFonts w:ascii="Calibri" w:eastAsia="Times New Roman" w:hAnsi="Calibri" w:cs="Times New Roman"/>
          <w:lang w:eastAsia="cs-CZ"/>
        </w:rPr>
        <w:tab/>
      </w:r>
    </w:p>
    <w:p w14:paraId="66E8A0AF" w14:textId="54FC1C39" w:rsidR="002D34C4" w:rsidRPr="00413334" w:rsidRDefault="002D34C4" w:rsidP="000C1429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413334">
        <w:rPr>
          <w:rFonts w:ascii="Calibri" w:eastAsia="Times New Roman" w:hAnsi="Calibri" w:cs="Times New Roman"/>
          <w:lang w:eastAsia="cs-CZ"/>
        </w:rPr>
        <w:t>zastoupen</w:t>
      </w:r>
      <w:r w:rsidR="00FC4D96">
        <w:rPr>
          <w:rFonts w:ascii="Calibri" w:eastAsia="Times New Roman" w:hAnsi="Calibri" w:cs="Times New Roman"/>
          <w:lang w:eastAsia="cs-CZ"/>
        </w:rPr>
        <w:t>á</w:t>
      </w:r>
      <w:r w:rsidRPr="00413334">
        <w:rPr>
          <w:rFonts w:ascii="Calibri" w:eastAsia="Times New Roman" w:hAnsi="Calibri" w:cs="Times New Roman"/>
          <w:lang w:eastAsia="cs-CZ"/>
        </w:rPr>
        <w:t>: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CF7366" w:rsidRPr="00CF7366">
        <w:rPr>
          <w:rFonts w:ascii="Calibri" w:eastAsia="Times New Roman" w:hAnsi="Calibri" w:cs="Times New Roman"/>
          <w:lang w:eastAsia="cs-CZ"/>
        </w:rPr>
        <w:t xml:space="preserve">Mgr. </w:t>
      </w:r>
      <w:bookmarkStart w:id="1" w:name="OLE_LINK10"/>
      <w:bookmarkStart w:id="2" w:name="OLE_LINK11"/>
      <w:bookmarkStart w:id="3" w:name="OLE_LINK12"/>
      <w:r w:rsidR="00CF7366" w:rsidRPr="00CF7366">
        <w:rPr>
          <w:rFonts w:ascii="Calibri" w:eastAsia="Times New Roman" w:hAnsi="Calibri" w:cs="Times New Roman"/>
          <w:lang w:eastAsia="cs-CZ"/>
        </w:rPr>
        <w:t>Zdeňkem Kučerou, MBA</w:t>
      </w:r>
      <w:bookmarkEnd w:id="1"/>
      <w:bookmarkEnd w:id="2"/>
      <w:bookmarkEnd w:id="3"/>
      <w:r w:rsidR="00FC4D96">
        <w:rPr>
          <w:rFonts w:ascii="Calibri" w:eastAsia="Times New Roman" w:hAnsi="Calibri" w:cs="Times New Roman"/>
          <w:lang w:eastAsia="cs-CZ"/>
        </w:rPr>
        <w:t>, starostou</w:t>
      </w:r>
    </w:p>
    <w:p w14:paraId="05693990" w14:textId="77777777" w:rsidR="00FC4D96" w:rsidRDefault="002D34C4" w:rsidP="000C1429">
      <w:pPr>
        <w:spacing w:after="0" w:line="276" w:lineRule="auto"/>
        <w:jc w:val="both"/>
      </w:pPr>
      <w:r w:rsidRPr="00413334">
        <w:rPr>
          <w:rFonts w:ascii="Calibri" w:eastAsia="Times New Roman" w:hAnsi="Calibri" w:cs="Times New Roman"/>
          <w:lang w:eastAsia="cs-CZ"/>
        </w:rPr>
        <w:t>IČO: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FC4D96">
        <w:t>00231321</w:t>
      </w:r>
    </w:p>
    <w:p w14:paraId="30D1F094" w14:textId="77777777" w:rsidR="00FC4D96" w:rsidRDefault="002D34C4" w:rsidP="000C1429">
      <w:pPr>
        <w:spacing w:after="0" w:line="276" w:lineRule="auto"/>
        <w:jc w:val="both"/>
      </w:pPr>
      <w:r w:rsidRPr="00413334">
        <w:rPr>
          <w:rFonts w:ascii="Calibri" w:eastAsia="Times New Roman" w:hAnsi="Calibri" w:cs="Times New Roman"/>
          <w:lang w:eastAsia="cs-CZ"/>
        </w:rPr>
        <w:t>DIČ: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  <w:t>CZ</w:t>
      </w:r>
      <w:r w:rsidR="00FC4D96">
        <w:t>00231321</w:t>
      </w:r>
    </w:p>
    <w:p w14:paraId="01071824" w14:textId="77777777" w:rsidR="002D34C4" w:rsidRPr="002D34C4" w:rsidRDefault="002D34C4" w:rsidP="000C1429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plátce DPH</w:t>
      </w:r>
    </w:p>
    <w:p w14:paraId="0835BD4D" w14:textId="60DDF42E" w:rsidR="002D34C4" w:rsidRDefault="002D34C4" w:rsidP="000C1429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bankovní spojení: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3E3611">
        <w:rPr>
          <w:rFonts w:ascii="Calibri" w:eastAsia="Times New Roman" w:hAnsi="Calibri" w:cs="Times New Roman"/>
          <w:lang w:eastAsia="cs-CZ"/>
        </w:rPr>
        <w:t>Komerční banka a.s.</w:t>
      </w:r>
      <w:r w:rsidR="000C1429">
        <w:rPr>
          <w:rFonts w:ascii="Calibri" w:eastAsia="Times New Roman" w:hAnsi="Calibri" w:cs="Times New Roman"/>
          <w:lang w:eastAsia="cs-CZ"/>
        </w:rPr>
        <w:t xml:space="preserve">, </w:t>
      </w:r>
      <w:r w:rsidR="000C1429">
        <w:rPr>
          <w:rFonts w:ascii="Calibri" w:eastAsia="Times New Roman" w:hAnsi="Calibri" w:cs="Times New Roman"/>
          <w:lang w:eastAsia="cs-CZ"/>
        </w:rPr>
        <w:tab/>
        <w:t>č.</w:t>
      </w:r>
      <w:r w:rsidRPr="002D34C4">
        <w:rPr>
          <w:rFonts w:ascii="Calibri" w:eastAsia="Times New Roman" w:hAnsi="Calibri" w:cs="Times New Roman"/>
          <w:lang w:eastAsia="cs-CZ"/>
        </w:rPr>
        <w:t>ú.</w:t>
      </w:r>
      <w:r w:rsidR="000C1429">
        <w:rPr>
          <w:rFonts w:ascii="Calibri" w:eastAsia="Times New Roman" w:hAnsi="Calibri" w:cs="Times New Roman"/>
          <w:lang w:eastAsia="cs-CZ"/>
        </w:rPr>
        <w:t>:</w:t>
      </w:r>
      <w:r w:rsidRPr="002D34C4">
        <w:rPr>
          <w:rFonts w:ascii="Calibri" w:eastAsia="Times New Roman" w:hAnsi="Calibri" w:cs="Times New Roman"/>
          <w:lang w:eastAsia="cs-CZ"/>
        </w:rPr>
        <w:t xml:space="preserve"> </w:t>
      </w:r>
      <w:r w:rsidR="003E3611">
        <w:rPr>
          <w:rFonts w:ascii="Calibri" w:eastAsia="Times New Roman" w:hAnsi="Calibri" w:cs="Times New Roman"/>
          <w:lang w:eastAsia="cs-CZ"/>
        </w:rPr>
        <w:t>107-5124370217/0100</w:t>
      </w:r>
    </w:p>
    <w:p w14:paraId="10ABEA80" w14:textId="3DED74AF" w:rsidR="006D3002" w:rsidRPr="002D34C4" w:rsidRDefault="006D3002" w:rsidP="000C1429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datová schránka:   </w:t>
      </w:r>
      <w:r>
        <w:rPr>
          <w:rFonts w:ascii="Calibri" w:eastAsia="Times New Roman" w:hAnsi="Calibri" w:cs="Times New Roman"/>
          <w:lang w:eastAsia="cs-CZ"/>
        </w:rPr>
        <w:tab/>
      </w:r>
      <w:r w:rsidR="003E3611">
        <w:rPr>
          <w:rFonts w:ascii="Calibri" w:eastAsia="Times New Roman" w:hAnsi="Calibri" w:cs="Times New Roman"/>
          <w:lang w:eastAsia="cs-CZ"/>
        </w:rPr>
        <w:t>87ubtf2</w:t>
      </w:r>
    </w:p>
    <w:p w14:paraId="2E4FDFF8" w14:textId="77777777" w:rsidR="002D34C4" w:rsidRPr="002D34C4" w:rsidRDefault="002D34C4" w:rsidP="000C1429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jako </w:t>
      </w:r>
      <w:r w:rsidRPr="002D34C4">
        <w:rPr>
          <w:rFonts w:ascii="Calibri" w:eastAsia="Times New Roman" w:hAnsi="Calibri" w:cs="Times New Roman"/>
          <w:b/>
          <w:lang w:eastAsia="cs-CZ"/>
        </w:rPr>
        <w:t>povinný</w:t>
      </w:r>
    </w:p>
    <w:p w14:paraId="494FF669" w14:textId="77777777"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1BACFD04" w14:textId="77777777"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a</w:t>
      </w:r>
    </w:p>
    <w:p w14:paraId="56733C99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1DE891A0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Pražská plynárenská Distribuce, a.s., člen koncernu Pražská plynárenská, a.s.</w:t>
      </w:r>
    </w:p>
    <w:p w14:paraId="7E276B02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se sídlem: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 xml:space="preserve">U Plynárny 500, 145 08 Praha 4 </w:t>
      </w:r>
    </w:p>
    <w:p w14:paraId="49411B4B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zapsaná v obchodním rejstříku vedeném Městským soudem v</w:t>
      </w:r>
      <w:r w:rsidR="006D3002">
        <w:rPr>
          <w:rFonts w:ascii="Calibri" w:eastAsia="Times New Roman" w:hAnsi="Calibri" w:cs="Times New Roman"/>
          <w:lang w:eastAsia="cs-CZ"/>
        </w:rPr>
        <w:t> </w:t>
      </w:r>
      <w:r w:rsidRPr="002D34C4">
        <w:rPr>
          <w:rFonts w:ascii="Calibri" w:eastAsia="Times New Roman" w:hAnsi="Calibri" w:cs="Times New Roman"/>
          <w:lang w:eastAsia="cs-CZ"/>
        </w:rPr>
        <w:t>Praze</w:t>
      </w:r>
      <w:r w:rsidR="006D3002">
        <w:rPr>
          <w:rFonts w:ascii="Calibri" w:eastAsia="Times New Roman" w:hAnsi="Calibri" w:cs="Times New Roman"/>
          <w:lang w:eastAsia="cs-CZ"/>
        </w:rPr>
        <w:t xml:space="preserve"> pod spisovou značkou</w:t>
      </w:r>
      <w:r w:rsidR="00C94DA9">
        <w:rPr>
          <w:rFonts w:ascii="Calibri" w:eastAsia="Times New Roman" w:hAnsi="Calibri" w:cs="Times New Roman"/>
          <w:lang w:eastAsia="cs-CZ"/>
        </w:rPr>
        <w:t xml:space="preserve"> B</w:t>
      </w:r>
      <w:r w:rsidRPr="002D34C4">
        <w:rPr>
          <w:rFonts w:ascii="Calibri" w:eastAsia="Times New Roman" w:hAnsi="Calibri" w:cs="Times New Roman"/>
          <w:lang w:eastAsia="cs-CZ"/>
        </w:rPr>
        <w:t xml:space="preserve"> 10356</w:t>
      </w:r>
    </w:p>
    <w:p w14:paraId="61C0F7EB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zastoupená: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6D3002">
        <w:rPr>
          <w:rFonts w:ascii="Calibri" w:eastAsia="Times New Roman" w:hAnsi="Calibri" w:cs="Times New Roman"/>
          <w:lang w:eastAsia="cs-CZ"/>
        </w:rPr>
        <w:t>Mgr. Janou Hyklovou</w:t>
      </w:r>
      <w:r w:rsidRPr="002D34C4">
        <w:rPr>
          <w:rFonts w:ascii="Calibri" w:eastAsia="Times New Roman" w:hAnsi="Calibri" w:cs="Times New Roman"/>
          <w:lang w:eastAsia="cs-CZ"/>
        </w:rPr>
        <w:t xml:space="preserve"> na základě pověření ze dne </w:t>
      </w:r>
      <w:r w:rsidR="006D3002">
        <w:rPr>
          <w:rFonts w:ascii="Calibri" w:eastAsia="Times New Roman" w:hAnsi="Calibri" w:cs="Times New Roman"/>
          <w:lang w:eastAsia="cs-CZ"/>
        </w:rPr>
        <w:t xml:space="preserve">3. </w:t>
      </w:r>
      <w:r w:rsidRPr="002D34C4">
        <w:rPr>
          <w:rFonts w:ascii="Calibri" w:eastAsia="Times New Roman" w:hAnsi="Calibri" w:cs="Times New Roman"/>
          <w:lang w:eastAsia="cs-CZ"/>
        </w:rPr>
        <w:t>1. 201</w:t>
      </w:r>
      <w:r w:rsidR="006D3002">
        <w:rPr>
          <w:rFonts w:ascii="Calibri" w:eastAsia="Times New Roman" w:hAnsi="Calibri" w:cs="Times New Roman"/>
          <w:lang w:eastAsia="cs-CZ"/>
        </w:rPr>
        <w:t>7</w:t>
      </w:r>
    </w:p>
    <w:p w14:paraId="42F3CCE2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IČO: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27403505</w:t>
      </w:r>
    </w:p>
    <w:p w14:paraId="1E07E421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DIČ: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CZ27403505</w:t>
      </w:r>
    </w:p>
    <w:p w14:paraId="2FC77A4A" w14:textId="77777777" w:rsidR="002D34C4" w:rsidRPr="002D34C4" w:rsidRDefault="002D34C4" w:rsidP="002D34C4">
      <w:pPr>
        <w:spacing w:after="0" w:line="276" w:lineRule="auto"/>
        <w:ind w:left="1418" w:firstLine="709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plátce DPH </w:t>
      </w:r>
    </w:p>
    <w:p w14:paraId="12AB3A7C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bankovní spojení:</w:t>
      </w:r>
      <w:r w:rsidRPr="002D34C4">
        <w:rPr>
          <w:rFonts w:ascii="Calibri" w:eastAsia="Times New Roman" w:hAnsi="Calibri" w:cs="Times New Roman"/>
          <w:lang w:eastAsia="cs-CZ"/>
        </w:rPr>
        <w:tab/>
        <w:t>Česká spořitelna, a.s., č.ú.: 6103692/0800</w:t>
      </w:r>
    </w:p>
    <w:p w14:paraId="4DEF531B" w14:textId="77777777" w:rsidR="006D3002" w:rsidRPr="005B28E2" w:rsidRDefault="006D3002" w:rsidP="005B28E2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5B28E2">
        <w:rPr>
          <w:rFonts w:ascii="Calibri" w:eastAsia="Times New Roman" w:hAnsi="Calibri" w:cs="Times New Roman"/>
          <w:lang w:eastAsia="cs-CZ"/>
        </w:rPr>
        <w:t>datová schránka:</w:t>
      </w:r>
      <w:r w:rsidRPr="005B28E2">
        <w:rPr>
          <w:rFonts w:ascii="Calibri" w:eastAsia="Times New Roman" w:hAnsi="Calibri" w:cs="Times New Roman"/>
          <w:lang w:eastAsia="cs-CZ"/>
        </w:rPr>
        <w:tab/>
        <w:t>w9qfskt</w:t>
      </w:r>
    </w:p>
    <w:p w14:paraId="71540527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jako </w:t>
      </w:r>
      <w:r w:rsidRPr="002D34C4">
        <w:rPr>
          <w:rFonts w:ascii="Calibri" w:eastAsia="Times New Roman" w:hAnsi="Calibri" w:cs="Times New Roman"/>
          <w:b/>
          <w:lang w:eastAsia="cs-CZ"/>
        </w:rPr>
        <w:t>oprávněný</w:t>
      </w:r>
      <w:r w:rsidRPr="002D34C4">
        <w:rPr>
          <w:rFonts w:ascii="Calibri" w:eastAsia="Times New Roman" w:hAnsi="Calibri" w:cs="Times New Roman"/>
          <w:lang w:eastAsia="cs-CZ"/>
        </w:rPr>
        <w:t xml:space="preserve"> </w:t>
      </w:r>
    </w:p>
    <w:p w14:paraId="3F569AE9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7881AC4A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21BB964F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I.</w:t>
      </w:r>
    </w:p>
    <w:p w14:paraId="34821F41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Úvodní ustanovení</w:t>
      </w:r>
    </w:p>
    <w:p w14:paraId="7EF5D02F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37409788" w14:textId="4481F272"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inženýrskou sítí ve smyslu § 509 </w:t>
      </w:r>
      <w:r w:rsidR="00CF7366">
        <w:rPr>
          <w:rFonts w:ascii="Calibri" w:eastAsia="Times New Roman" w:hAnsi="Calibri" w:cs="Times New Roman"/>
          <w:lang w:eastAsia="cs-CZ"/>
        </w:rPr>
        <w:t>o</w:t>
      </w:r>
      <w:r w:rsidRPr="002D34C4">
        <w:rPr>
          <w:rFonts w:ascii="Calibri" w:eastAsia="Times New Roman" w:hAnsi="Calibri" w:cs="Times New Roman"/>
          <w:lang w:eastAsia="cs-CZ"/>
        </w:rPr>
        <w:t>bčanského zákoníku, v platném znění. PDS má povinnost zajišťovat spolehlivý provoz a rozvoj distribuční soustavy na území, vymezeném licencí, přičemž zřízení tohoto věcného břemene je ze strany oprávněného jedním ze zákonem daných předpokladů pro plnění této povinnosti.</w:t>
      </w:r>
    </w:p>
    <w:p w14:paraId="44020B02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1D6D13F6" w14:textId="3EEFA025" w:rsidR="00FC4D96" w:rsidRPr="0075764E" w:rsidRDefault="00FC4D96" w:rsidP="00FC4D96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8C2591">
        <w:t xml:space="preserve">Povinný z věcného břemene prohlašuje, že </w:t>
      </w:r>
      <w:r>
        <w:rPr>
          <w:rFonts w:ascii="Calibri" w:eastAsia="Times New Roman" w:hAnsi="Calibri" w:cs="Times New Roman"/>
          <w:lang w:eastAsia="cs-CZ"/>
        </w:rPr>
        <w:t xml:space="preserve">hl. m. Praha je </w:t>
      </w:r>
      <w:r w:rsidRPr="002D34C4">
        <w:rPr>
          <w:rFonts w:ascii="Calibri" w:eastAsia="Times New Roman" w:hAnsi="Calibri" w:cs="Times New Roman"/>
          <w:lang w:eastAsia="cs-CZ"/>
        </w:rPr>
        <w:t xml:space="preserve">výlučným vlastníkem </w:t>
      </w:r>
      <w:r>
        <w:rPr>
          <w:rFonts w:ascii="Calibri" w:eastAsia="Times New Roman" w:hAnsi="Calibri" w:cs="Times New Roman"/>
          <w:lang w:eastAsia="cs-CZ"/>
        </w:rPr>
        <w:t>a Městská část Praha 18 má svěřenou správu k pozemku p</w:t>
      </w:r>
      <w:r w:rsidRPr="002D34C4">
        <w:rPr>
          <w:rFonts w:ascii="Calibri" w:eastAsia="Times New Roman" w:hAnsi="Calibri" w:cs="Times New Roman"/>
          <w:lang w:eastAsia="cs-CZ"/>
        </w:rPr>
        <w:t xml:space="preserve">arc. č. </w:t>
      </w:r>
      <w:r>
        <w:t>790/1 v </w:t>
      </w:r>
      <w:r w:rsidRPr="008C2591">
        <w:rPr>
          <w:rFonts w:ascii="Calibri" w:eastAsia="Times New Roman" w:hAnsi="Calibri" w:cs="Times New Roman"/>
          <w:lang w:eastAsia="cs-CZ"/>
        </w:rPr>
        <w:t>k</w:t>
      </w:r>
      <w:r>
        <w:rPr>
          <w:rFonts w:ascii="Calibri" w:eastAsia="Times New Roman" w:hAnsi="Calibri" w:cs="Times New Roman"/>
          <w:lang w:eastAsia="cs-CZ"/>
        </w:rPr>
        <w:t>atastrálním území</w:t>
      </w:r>
      <w:r w:rsidRPr="008C2591">
        <w:rPr>
          <w:rFonts w:ascii="Calibri" w:eastAsia="Times New Roman" w:hAnsi="Calibri" w:cs="Times New Roman"/>
          <w:lang w:eastAsia="cs-CZ"/>
        </w:rPr>
        <w:t xml:space="preserve"> </w:t>
      </w:r>
      <w:r>
        <w:rPr>
          <w:rFonts w:ascii="Calibri" w:eastAsia="Times New Roman" w:hAnsi="Calibri" w:cs="Times New Roman"/>
          <w:lang w:eastAsia="cs-CZ"/>
        </w:rPr>
        <w:t>Letňany</w:t>
      </w:r>
      <w:r w:rsidRPr="008C2591">
        <w:rPr>
          <w:rFonts w:ascii="Calibri" w:eastAsia="Times New Roman" w:hAnsi="Calibri" w:cs="Times New Roman"/>
          <w:lang w:eastAsia="cs-CZ"/>
        </w:rPr>
        <w:t>,</w:t>
      </w:r>
      <w:r>
        <w:rPr>
          <w:lang w:eastAsia="cs-CZ"/>
        </w:rPr>
        <w:t xml:space="preserve"> obec Praha </w:t>
      </w:r>
      <w:r w:rsidRPr="0075764E">
        <w:rPr>
          <w:rFonts w:ascii="Calibri" w:eastAsia="Times New Roman" w:hAnsi="Calibri" w:cs="Times New Roman"/>
          <w:lang w:eastAsia="cs-CZ"/>
        </w:rPr>
        <w:t xml:space="preserve">(dále jen </w:t>
      </w:r>
      <w:r w:rsidR="00CF7366">
        <w:rPr>
          <w:rFonts w:ascii="Calibri" w:eastAsia="Times New Roman" w:hAnsi="Calibri" w:cs="Times New Roman"/>
          <w:lang w:eastAsia="cs-CZ"/>
        </w:rPr>
        <w:t>„</w:t>
      </w:r>
      <w:r w:rsidRPr="0075764E">
        <w:rPr>
          <w:rFonts w:ascii="Calibri" w:eastAsia="Times New Roman" w:hAnsi="Calibri" w:cs="Times New Roman"/>
          <w:lang w:eastAsia="cs-CZ"/>
        </w:rPr>
        <w:t>Pozem</w:t>
      </w:r>
      <w:r w:rsidR="00CF7366">
        <w:rPr>
          <w:rFonts w:ascii="Calibri" w:eastAsia="Times New Roman" w:hAnsi="Calibri" w:cs="Times New Roman"/>
          <w:lang w:eastAsia="cs-CZ"/>
        </w:rPr>
        <w:t>ek“</w:t>
      </w:r>
      <w:r>
        <w:rPr>
          <w:rFonts w:ascii="Calibri" w:eastAsia="Times New Roman" w:hAnsi="Calibri" w:cs="Times New Roman"/>
          <w:lang w:eastAsia="cs-CZ"/>
        </w:rPr>
        <w:t>)</w:t>
      </w:r>
      <w:r>
        <w:rPr>
          <w:lang w:eastAsia="cs-CZ"/>
        </w:rPr>
        <w:t xml:space="preserve"> zapsaného na LV č. 455 vedeném Katastrálním úřadem pro hlavní město Prahu, Katastrální pracoviště Praha</w:t>
      </w:r>
      <w:r w:rsidR="00CF7366">
        <w:rPr>
          <w:lang w:eastAsia="cs-CZ"/>
        </w:rPr>
        <w:t>.</w:t>
      </w:r>
      <w:r w:rsidRPr="0075764E">
        <w:rPr>
          <w:rFonts w:ascii="Calibri" w:eastAsia="Times New Roman" w:hAnsi="Calibri" w:cs="Times New Roman"/>
          <w:lang w:eastAsia="cs-CZ"/>
        </w:rPr>
        <w:t xml:space="preserve"> </w:t>
      </w:r>
    </w:p>
    <w:p w14:paraId="7CA37BBC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26CEE46B" w14:textId="77777777"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Pozemek se nachází na území, vymezeném licencí, v němž oprávněný provozuje distribuční soustavu. Oprávněný má povinnost zřídit věcné břemeno, umožňující mu ve smyslu § 59 odst. 2 energetického zákona zřídit a provozovat na Pozemku zařízení distribuční soustavy (dále jen </w:t>
      </w:r>
      <w:r w:rsidR="00CF7366">
        <w:rPr>
          <w:rFonts w:ascii="Calibri" w:eastAsia="Times New Roman" w:hAnsi="Calibri" w:cs="Times New Roman"/>
          <w:lang w:eastAsia="cs-CZ"/>
        </w:rPr>
        <w:t>„</w:t>
      </w:r>
      <w:r w:rsidRPr="002D34C4">
        <w:rPr>
          <w:rFonts w:ascii="Calibri" w:eastAsia="Times New Roman" w:hAnsi="Calibri" w:cs="Times New Roman"/>
          <w:lang w:eastAsia="cs-CZ"/>
        </w:rPr>
        <w:t>plynárenské zařízení</w:t>
      </w:r>
      <w:r w:rsidR="00CF7366">
        <w:rPr>
          <w:rFonts w:ascii="Calibri" w:eastAsia="Times New Roman" w:hAnsi="Calibri" w:cs="Times New Roman"/>
          <w:lang w:eastAsia="cs-CZ"/>
        </w:rPr>
        <w:t>“</w:t>
      </w:r>
      <w:r w:rsidRPr="002D34C4">
        <w:rPr>
          <w:rFonts w:ascii="Calibri" w:eastAsia="Times New Roman" w:hAnsi="Calibri" w:cs="Times New Roman"/>
          <w:lang w:eastAsia="cs-CZ"/>
        </w:rPr>
        <w:t xml:space="preserve">). </w:t>
      </w:r>
    </w:p>
    <w:p w14:paraId="6A1D9FEE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0D8D5D1C" w14:textId="77777777"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z věcného břemene prohlašuje, že na výše uvedeném Pozemku je umístěna stavba plynárenského zařízení </w:t>
      </w:r>
      <w:r w:rsidR="00FC4D96">
        <w:rPr>
          <w:rFonts w:ascii="Calibri" w:eastAsia="Times New Roman" w:hAnsi="Calibri" w:cs="Times New Roman"/>
          <w:lang w:eastAsia="cs-CZ"/>
        </w:rPr>
        <w:t>- NTL plynovodní přípojky</w:t>
      </w:r>
      <w:r w:rsidRPr="002D34C4">
        <w:rPr>
          <w:rFonts w:ascii="Calibri" w:eastAsia="Times New Roman" w:hAnsi="Calibri" w:cs="Times New Roman"/>
          <w:i/>
          <w:lang w:eastAsia="cs-CZ"/>
        </w:rPr>
        <w:t>.</w:t>
      </w:r>
    </w:p>
    <w:p w14:paraId="0339A104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54E2BF83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19D9F31D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II.</w:t>
      </w:r>
    </w:p>
    <w:p w14:paraId="595066F1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Předmět smlouvy</w:t>
      </w:r>
    </w:p>
    <w:p w14:paraId="7C8A095C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5695F825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Předmětem této smlouvy je zřízení a vymezení věcného břemene osobní služebnosti energetického vedení podle § 59 odst. 2 energetického zákona, nepodléhající úpravě služebnosti inženýrské sítě dle § 1267 Občanského zákoníku (dále též jen „věcné břemeno“). Obsah věcného břemene je specifikován v článku III. této smlouvy. Věcné břemeno se zřizuje k tíži Pozemku ve prospěch oprávněného v rozsahu, uvedeném v této smlouvě a vyplývajícím z příslušných ustanovení energetického zákona.</w:t>
      </w:r>
    </w:p>
    <w:p w14:paraId="525D88AB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6950F12B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6140F1C9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III.</w:t>
      </w:r>
    </w:p>
    <w:p w14:paraId="13888CD4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Specifikace věcného břemene</w:t>
      </w:r>
    </w:p>
    <w:p w14:paraId="788F6E90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31918A71" w14:textId="1C65672B"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Povinný za podmínek, ujednaných v této smlouvě, zřizuje </w:t>
      </w:r>
      <w:r w:rsidR="007535E2">
        <w:rPr>
          <w:rFonts w:ascii="Calibri" w:eastAsia="Times New Roman" w:hAnsi="Calibri" w:cs="Times New Roman"/>
          <w:lang w:eastAsia="cs-CZ"/>
        </w:rPr>
        <w:t xml:space="preserve">v rozsahu vymezeném </w:t>
      </w:r>
      <w:r w:rsidRPr="002D34C4">
        <w:rPr>
          <w:rFonts w:ascii="Calibri" w:eastAsia="Times New Roman" w:hAnsi="Calibri" w:cs="Times New Roman"/>
          <w:lang w:eastAsia="cs-CZ"/>
        </w:rPr>
        <w:t>geometrick</w:t>
      </w:r>
      <w:r w:rsidR="007535E2">
        <w:rPr>
          <w:rFonts w:ascii="Calibri" w:eastAsia="Times New Roman" w:hAnsi="Calibri" w:cs="Times New Roman"/>
          <w:lang w:eastAsia="cs-CZ"/>
        </w:rPr>
        <w:t>ým</w:t>
      </w:r>
      <w:r w:rsidRPr="002D34C4">
        <w:rPr>
          <w:rFonts w:ascii="Calibri" w:eastAsia="Times New Roman" w:hAnsi="Calibri" w:cs="Times New Roman"/>
          <w:lang w:eastAsia="cs-CZ"/>
        </w:rPr>
        <w:t xml:space="preserve"> plán</w:t>
      </w:r>
      <w:r w:rsidR="007535E2">
        <w:rPr>
          <w:rFonts w:ascii="Calibri" w:eastAsia="Times New Roman" w:hAnsi="Calibri" w:cs="Times New Roman"/>
          <w:lang w:eastAsia="cs-CZ"/>
        </w:rPr>
        <w:t xml:space="preserve">em </w:t>
      </w:r>
      <w:r w:rsidRPr="002D34C4">
        <w:rPr>
          <w:rFonts w:ascii="Calibri" w:eastAsia="Times New Roman" w:hAnsi="Calibri" w:cs="Times New Roman"/>
          <w:lang w:eastAsia="cs-CZ"/>
        </w:rPr>
        <w:t>č</w:t>
      </w:r>
      <w:r w:rsidR="006D3002">
        <w:rPr>
          <w:rFonts w:ascii="Calibri" w:eastAsia="Times New Roman" w:hAnsi="Calibri" w:cs="Times New Roman"/>
          <w:lang w:eastAsia="cs-CZ"/>
        </w:rPr>
        <w:t>.</w:t>
      </w:r>
      <w:r w:rsidRPr="002D34C4">
        <w:rPr>
          <w:rFonts w:ascii="Calibri" w:eastAsia="Times New Roman" w:hAnsi="Calibri" w:cs="Times New Roman"/>
          <w:lang w:eastAsia="cs-CZ"/>
        </w:rPr>
        <w:t xml:space="preserve"> </w:t>
      </w:r>
      <w:r w:rsidR="00FC4D96">
        <w:rPr>
          <w:rFonts w:ascii="Calibri" w:eastAsia="Times New Roman" w:hAnsi="Calibri" w:cs="Times New Roman"/>
          <w:lang w:eastAsia="cs-CZ"/>
        </w:rPr>
        <w:t>1638-81/2018</w:t>
      </w:r>
      <w:r w:rsidRPr="002D34C4">
        <w:rPr>
          <w:rFonts w:ascii="Calibri" w:eastAsia="Times New Roman" w:hAnsi="Calibri" w:cs="Times New Roman"/>
          <w:lang w:eastAsia="cs-CZ"/>
        </w:rPr>
        <w:t xml:space="preserve"> ve prospěch oprávněného k tíži Pozemku právo, odpovídající věcnému břemeni, spočívající v umístění stavby plynárenského zařízení na Pozemku a v právu přístupu </w:t>
      </w:r>
      <w:r w:rsidR="00EC3167" w:rsidRPr="002D34C4">
        <w:rPr>
          <w:rFonts w:ascii="Calibri" w:eastAsia="Times New Roman" w:hAnsi="Calibri" w:cs="Times New Roman"/>
          <w:lang w:eastAsia="cs-CZ"/>
        </w:rPr>
        <w:t>a</w:t>
      </w:r>
      <w:r w:rsidR="00EC3167">
        <w:rPr>
          <w:rFonts w:ascii="Calibri" w:eastAsia="Times New Roman" w:hAnsi="Calibri" w:cs="Times New Roman"/>
          <w:lang w:eastAsia="cs-CZ"/>
        </w:rPr>
        <w:t> </w:t>
      </w:r>
      <w:r w:rsidRPr="002D34C4">
        <w:rPr>
          <w:rFonts w:ascii="Calibri" w:eastAsia="Times New Roman" w:hAnsi="Calibri" w:cs="Times New Roman"/>
          <w:lang w:eastAsia="cs-CZ"/>
        </w:rPr>
        <w:t xml:space="preserve">vjezdu na Pozemek za účelem zajištění bezpečného provozu, údržby, oprav </w:t>
      </w:r>
      <w:r w:rsidR="003E3611" w:rsidRPr="002D34C4">
        <w:rPr>
          <w:rFonts w:ascii="Calibri" w:eastAsia="Times New Roman" w:hAnsi="Calibri" w:cs="Times New Roman"/>
          <w:lang w:eastAsia="cs-CZ"/>
        </w:rPr>
        <w:t>a</w:t>
      </w:r>
      <w:r w:rsidR="003E3611">
        <w:rPr>
          <w:rFonts w:ascii="Calibri" w:eastAsia="Times New Roman" w:hAnsi="Calibri" w:cs="Times New Roman"/>
          <w:lang w:eastAsia="cs-CZ"/>
        </w:rPr>
        <w:t> </w:t>
      </w:r>
      <w:r w:rsidRPr="002D34C4">
        <w:rPr>
          <w:rFonts w:ascii="Calibri" w:eastAsia="Times New Roman" w:hAnsi="Calibri" w:cs="Times New Roman"/>
          <w:lang w:eastAsia="cs-CZ"/>
        </w:rPr>
        <w:t>stavebních úprav plynárenského zařízení. Věcné břemeno zahrnuje též právo oprávněného provádět na plynárenském zařízení úpravy za účelem jeho výměny, modernizace nebo zlepšení jeho výkonnosti, včetně jeho odstranění.</w:t>
      </w:r>
    </w:p>
    <w:p w14:paraId="3778DBE8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3299185E" w14:textId="77777777"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Geometrický plán č. </w:t>
      </w:r>
      <w:r w:rsidR="00FC4D96">
        <w:rPr>
          <w:rFonts w:ascii="Calibri" w:eastAsia="Times New Roman" w:hAnsi="Calibri" w:cs="Times New Roman"/>
          <w:lang w:eastAsia="cs-CZ"/>
        </w:rPr>
        <w:t>1638-81/2018</w:t>
      </w:r>
      <w:r w:rsidRPr="002D34C4">
        <w:rPr>
          <w:rFonts w:ascii="Calibri" w:eastAsia="Times New Roman" w:hAnsi="Calibri" w:cs="Times New Roman"/>
          <w:lang w:eastAsia="cs-CZ"/>
        </w:rPr>
        <w:t xml:space="preserve"> pro účely zřízení věcného břemene dle bodu 1. tohoto článku, schválený Katastrálním úřadem pro </w:t>
      </w:r>
      <w:r w:rsidR="00FC4D96">
        <w:rPr>
          <w:rFonts w:ascii="Calibri" w:eastAsia="Times New Roman" w:hAnsi="Calibri" w:cs="Times New Roman"/>
          <w:lang w:eastAsia="cs-CZ"/>
        </w:rPr>
        <w:t>hlavní město Prahu</w:t>
      </w:r>
      <w:r w:rsidRPr="002D34C4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FC4D96">
        <w:rPr>
          <w:rFonts w:ascii="Calibri" w:eastAsia="Times New Roman" w:hAnsi="Calibri" w:cs="Times New Roman"/>
          <w:lang w:eastAsia="cs-CZ"/>
        </w:rPr>
        <w:t>Praha</w:t>
      </w:r>
      <w:r w:rsidRPr="002D34C4">
        <w:rPr>
          <w:rFonts w:ascii="Calibri" w:eastAsia="Times New Roman" w:hAnsi="Calibri" w:cs="Times New Roman"/>
          <w:lang w:eastAsia="cs-CZ"/>
        </w:rPr>
        <w:t xml:space="preserve"> dne </w:t>
      </w:r>
      <w:r w:rsidR="00FC4D96">
        <w:rPr>
          <w:rFonts w:ascii="Calibri" w:eastAsia="Times New Roman" w:hAnsi="Calibri" w:cs="Times New Roman"/>
          <w:lang w:eastAsia="cs-CZ"/>
        </w:rPr>
        <w:t>9.5.2018</w:t>
      </w:r>
      <w:r w:rsidRPr="002D34C4">
        <w:rPr>
          <w:rFonts w:ascii="Calibri" w:eastAsia="Times New Roman" w:hAnsi="Calibri" w:cs="Times New Roman"/>
          <w:lang w:eastAsia="cs-CZ"/>
        </w:rPr>
        <w:t xml:space="preserve"> pod čj. </w:t>
      </w:r>
      <w:r w:rsidR="00FC4D96">
        <w:rPr>
          <w:rFonts w:ascii="Calibri" w:eastAsia="Times New Roman" w:hAnsi="Calibri" w:cs="Times New Roman"/>
          <w:lang w:eastAsia="cs-CZ"/>
        </w:rPr>
        <w:t>PGP-2141/2018-101</w:t>
      </w:r>
      <w:r w:rsidRPr="002D34C4">
        <w:rPr>
          <w:rFonts w:ascii="Calibri" w:eastAsia="Times New Roman" w:hAnsi="Calibri" w:cs="Times New Roman"/>
          <w:lang w:eastAsia="cs-CZ"/>
        </w:rPr>
        <w:t xml:space="preserve">, je přílohou č. </w:t>
      </w:r>
      <w:smartTag w:uri="urn:schemas-microsoft-com:office:smarttags" w:element="metricconverter">
        <w:smartTagPr>
          <w:attr w:name="ProductID" w:val="1 a"/>
        </w:smartTagPr>
        <w:r w:rsidRPr="002D34C4">
          <w:rPr>
            <w:rFonts w:ascii="Calibri" w:eastAsia="Times New Roman" w:hAnsi="Calibri" w:cs="Times New Roman"/>
            <w:lang w:eastAsia="cs-CZ"/>
          </w:rPr>
          <w:t>1 a</w:t>
        </w:r>
      </w:smartTag>
      <w:r w:rsidRPr="002D34C4">
        <w:rPr>
          <w:rFonts w:ascii="Calibri" w:eastAsia="Times New Roman" w:hAnsi="Calibri" w:cs="Times New Roman"/>
          <w:lang w:eastAsia="cs-CZ"/>
        </w:rPr>
        <w:t xml:space="preserve"> nedílnou součástí této smlouvy.</w:t>
      </w:r>
    </w:p>
    <w:p w14:paraId="364893C2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19594981" w14:textId="5FDDA342"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Smluvní strany berou na vědomí, že se změnou vlastníka Pozemku přecházejí práva </w:t>
      </w:r>
      <w:r w:rsidR="003E3611" w:rsidRPr="002D34C4">
        <w:rPr>
          <w:rFonts w:ascii="Calibri" w:eastAsia="Times New Roman" w:hAnsi="Calibri" w:cs="Times New Roman"/>
          <w:lang w:eastAsia="cs-CZ"/>
        </w:rPr>
        <w:t>a</w:t>
      </w:r>
      <w:r w:rsidR="003E3611">
        <w:rPr>
          <w:rFonts w:ascii="Calibri" w:eastAsia="Times New Roman" w:hAnsi="Calibri" w:cs="Times New Roman"/>
          <w:lang w:eastAsia="cs-CZ"/>
        </w:rPr>
        <w:t> </w:t>
      </w:r>
      <w:r w:rsidRPr="002D34C4">
        <w:rPr>
          <w:rFonts w:ascii="Calibri" w:eastAsia="Times New Roman" w:hAnsi="Calibri" w:cs="Times New Roman"/>
          <w:lang w:eastAsia="cs-CZ"/>
        </w:rPr>
        <w:t>povinnosti, vyplývající z věcného břemene, na nabyvatele Pozemku.</w:t>
      </w:r>
    </w:p>
    <w:p w14:paraId="11658D0B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7FE094CB" w14:textId="77777777"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lastRenderedPageBreak/>
        <w:t>Oprávněný prohlašuje, že právo odpovídající věcnému břemeni podle této smlouvy přijímá. Povinný prohlašuje, že si je vědom své povinnosti toto právo strpět a nerušit a zavazuje se zdržet se veškeré činnosti, která by vedla k ohrožení plynárenského zařízení, specifikovaného v této smlouvě, nebo k omezení výkonu práva oprávněného dle této smlouvy.</w:t>
      </w:r>
    </w:p>
    <w:p w14:paraId="65B9199E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0918B591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13FA361F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IV.</w:t>
      </w:r>
    </w:p>
    <w:p w14:paraId="00FB10D1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Výše náhrady za zřízení věcného břemene</w:t>
      </w:r>
    </w:p>
    <w:p w14:paraId="3AC0D554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12C4C239" w14:textId="099BD2A2" w:rsidR="0093169B" w:rsidRPr="00F767B8" w:rsidRDefault="0093169B" w:rsidP="00F767B8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eastAsia="Times New Roman" w:cs="Times New Roman"/>
          <w:lang w:eastAsia="cs-CZ"/>
        </w:rPr>
      </w:pPr>
      <w:bookmarkStart w:id="4" w:name="_Hlk535309412"/>
      <w:r w:rsidRPr="00EC3167">
        <w:rPr>
          <w:rFonts w:eastAsia="Times New Roman" w:cs="Times New Roman"/>
          <w:lang w:eastAsia="cs-CZ"/>
        </w:rPr>
        <w:t>Právo</w:t>
      </w:r>
      <w:r w:rsidRPr="00EC3167">
        <w:rPr>
          <w:rFonts w:ascii="Calibri" w:eastAsia="Times New Roman" w:hAnsi="Calibri" w:cs="Times New Roman"/>
          <w:lang w:eastAsia="cs-CZ"/>
        </w:rPr>
        <w:t xml:space="preserve"> podle ustanovení čl. III. této smlouvy se zřizuje jako úplatné</w:t>
      </w:r>
      <w:r w:rsidR="001C5D54">
        <w:rPr>
          <w:rFonts w:ascii="Calibri" w:eastAsia="Times New Roman" w:hAnsi="Calibri" w:cs="Times New Roman"/>
          <w:lang w:eastAsia="cs-CZ"/>
        </w:rPr>
        <w:t xml:space="preserve">. Celková úplata za zřízení věcného břemene sestává z ceny za zřízení věcného břemene </w:t>
      </w:r>
      <w:r w:rsidR="001C5D54">
        <w:rPr>
          <w:rFonts w:cs="Tahoma"/>
          <w:spacing w:val="-3"/>
        </w:rPr>
        <w:t xml:space="preserve">stanovené </w:t>
      </w:r>
      <w:r w:rsidRPr="00EC3167">
        <w:rPr>
          <w:rFonts w:cs="Tahoma"/>
          <w:spacing w:val="-3"/>
        </w:rPr>
        <w:t>d</w:t>
      </w:r>
      <w:r w:rsidRPr="00F767B8">
        <w:rPr>
          <w:rFonts w:cs="Tahoma"/>
          <w:spacing w:val="-3"/>
        </w:rPr>
        <w:t>le znaleckého posudku</w:t>
      </w:r>
      <w:r w:rsidR="00322AD2">
        <w:rPr>
          <w:rFonts w:cs="Tahoma"/>
          <w:spacing w:val="-3"/>
        </w:rPr>
        <w:t xml:space="preserve"> </w:t>
      </w:r>
      <w:r w:rsidR="00322AD2" w:rsidRPr="00EC3167">
        <w:rPr>
          <w:rFonts w:cs="Times New Roman"/>
        </w:rPr>
        <w:t>č.</w:t>
      </w:r>
      <w:r w:rsidR="00322AD2" w:rsidRPr="00F767B8">
        <w:rPr>
          <w:rFonts w:cs="Times New Roman"/>
        </w:rPr>
        <w:t> 5461-291/18</w:t>
      </w:r>
      <w:r w:rsidR="00322AD2" w:rsidRPr="00EC3167">
        <w:rPr>
          <w:rFonts w:cs="Times New Roman"/>
        </w:rPr>
        <w:t xml:space="preserve"> ze dne </w:t>
      </w:r>
      <w:r w:rsidR="00322AD2" w:rsidRPr="00F767B8">
        <w:rPr>
          <w:rFonts w:cs="Times New Roman"/>
        </w:rPr>
        <w:t>18. 11. 2018</w:t>
      </w:r>
      <w:r w:rsidR="00322AD2" w:rsidRPr="00EC3167">
        <w:rPr>
          <w:rFonts w:cs="Times New Roman"/>
        </w:rPr>
        <w:t xml:space="preserve">, který zpracoval </w:t>
      </w:r>
      <w:r w:rsidR="00322AD2" w:rsidRPr="00F767B8">
        <w:rPr>
          <w:rFonts w:cs="Times New Roman"/>
        </w:rPr>
        <w:t>Ing. Jan Beneš</w:t>
      </w:r>
      <w:r w:rsidR="00322AD2" w:rsidRPr="00EC3167">
        <w:rPr>
          <w:rFonts w:cs="Times New Roman"/>
        </w:rPr>
        <w:t xml:space="preserve">, IČO: </w:t>
      </w:r>
      <w:r w:rsidR="00322AD2" w:rsidRPr="00F767B8">
        <w:rPr>
          <w:rFonts w:cs="Times New Roman"/>
        </w:rPr>
        <w:t>67381235</w:t>
      </w:r>
      <w:r w:rsidR="00322AD2" w:rsidRPr="00EC3167">
        <w:t>,</w:t>
      </w:r>
      <w:r w:rsidR="00322AD2" w:rsidRPr="00EC3167">
        <w:rPr>
          <w:rFonts w:cs="Times New Roman"/>
        </w:rPr>
        <w:t xml:space="preserve"> se sídlem </w:t>
      </w:r>
      <w:r w:rsidR="00322AD2" w:rsidRPr="00F767B8">
        <w:rPr>
          <w:rFonts w:cs="Times New Roman"/>
        </w:rPr>
        <w:t>Za</w:t>
      </w:r>
      <w:r w:rsidR="008D51F5">
        <w:rPr>
          <w:rFonts w:cs="Times New Roman"/>
        </w:rPr>
        <w:t> </w:t>
      </w:r>
      <w:r w:rsidR="00322AD2" w:rsidRPr="00F767B8">
        <w:rPr>
          <w:rFonts w:cs="Times New Roman"/>
        </w:rPr>
        <w:t>Strahovem 41, Praha 6</w:t>
      </w:r>
      <w:r w:rsidR="00322AD2" w:rsidRPr="00EC3167">
        <w:rPr>
          <w:rFonts w:cs="Times New Roman"/>
        </w:rPr>
        <w:t>.</w:t>
      </w:r>
      <w:r w:rsidRPr="00EC3167">
        <w:rPr>
          <w:rFonts w:cs="Tahoma"/>
          <w:spacing w:val="-3"/>
        </w:rPr>
        <w:t>, jehož vyhotovení zadal povinný</w:t>
      </w:r>
      <w:r w:rsidR="007D7539">
        <w:rPr>
          <w:rFonts w:cs="Tahoma"/>
          <w:spacing w:val="-3"/>
        </w:rPr>
        <w:t xml:space="preserve"> a </w:t>
      </w:r>
      <w:r w:rsidR="001C5D54">
        <w:rPr>
          <w:rFonts w:cs="Tahoma"/>
          <w:spacing w:val="-3"/>
        </w:rPr>
        <w:t xml:space="preserve">znalečného, tzn. </w:t>
      </w:r>
      <w:r w:rsidR="00322AD2">
        <w:rPr>
          <w:rFonts w:cs="Tahoma"/>
          <w:spacing w:val="-3"/>
        </w:rPr>
        <w:t>c</w:t>
      </w:r>
      <w:r w:rsidR="001C5D54">
        <w:rPr>
          <w:rFonts w:cs="Tahoma"/>
          <w:spacing w:val="-3"/>
        </w:rPr>
        <w:t>eny za vyhotovení znaleckého posudku</w:t>
      </w:r>
      <w:r w:rsidRPr="00EC3167">
        <w:rPr>
          <w:rFonts w:cs="Tahoma"/>
          <w:spacing w:val="-3"/>
        </w:rPr>
        <w:t>.</w:t>
      </w:r>
      <w:r w:rsidR="001C5D54">
        <w:rPr>
          <w:rFonts w:cs="Tahoma"/>
          <w:spacing w:val="-3"/>
        </w:rPr>
        <w:t xml:space="preserve">  </w:t>
      </w:r>
      <w:r w:rsidRPr="00EC3167">
        <w:rPr>
          <w:rFonts w:cs="Tahoma"/>
          <w:spacing w:val="-3"/>
        </w:rPr>
        <w:t xml:space="preserve"> </w:t>
      </w:r>
    </w:p>
    <w:bookmarkEnd w:id="4"/>
    <w:p w14:paraId="215BC752" w14:textId="77777777" w:rsidR="0093169B" w:rsidRPr="00F767B8" w:rsidRDefault="0093169B" w:rsidP="00F767B8">
      <w:pPr>
        <w:spacing w:after="0" w:line="276" w:lineRule="auto"/>
        <w:ind w:left="567"/>
        <w:contextualSpacing/>
        <w:jc w:val="both"/>
        <w:rPr>
          <w:rFonts w:eastAsia="Times New Roman" w:cs="Times New Roman"/>
          <w:lang w:eastAsia="cs-CZ"/>
        </w:rPr>
      </w:pPr>
    </w:p>
    <w:p w14:paraId="58FA5A9F" w14:textId="1F89A0B1" w:rsidR="002D34C4" w:rsidRPr="00EC3167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bookmarkStart w:id="5" w:name="OLE_LINK7"/>
      <w:bookmarkStart w:id="6" w:name="OLE_LINK8"/>
      <w:bookmarkStart w:id="7" w:name="OLE_LINK9"/>
      <w:bookmarkStart w:id="8" w:name="_Hlk535309520"/>
      <w:r w:rsidRPr="00F767B8">
        <w:rPr>
          <w:rFonts w:eastAsia="Times New Roman" w:cs="Times New Roman"/>
          <w:lang w:eastAsia="cs-CZ"/>
        </w:rPr>
        <w:t>Právo</w:t>
      </w:r>
      <w:r w:rsidRPr="00EC3167">
        <w:rPr>
          <w:rFonts w:ascii="Calibri" w:eastAsia="Times New Roman" w:hAnsi="Calibri" w:cs="Times New Roman"/>
          <w:lang w:eastAsia="cs-CZ"/>
        </w:rPr>
        <w:t xml:space="preserve"> podle ustanovení čl. III. této smlouvy se zřizuje </w:t>
      </w:r>
      <w:bookmarkEnd w:id="5"/>
      <w:bookmarkEnd w:id="6"/>
      <w:bookmarkEnd w:id="7"/>
      <w:r w:rsidRPr="00EC3167">
        <w:rPr>
          <w:rFonts w:ascii="Calibri" w:eastAsia="Times New Roman" w:hAnsi="Calibri" w:cs="Times New Roman"/>
          <w:lang w:eastAsia="cs-CZ"/>
        </w:rPr>
        <w:t xml:space="preserve">za jednorázovou náhradu ve výši </w:t>
      </w:r>
      <w:r w:rsidR="00ED7427">
        <w:rPr>
          <w:rFonts w:ascii="Calibri" w:eastAsia="Times New Roman" w:hAnsi="Calibri" w:cs="Times New Roman"/>
          <w:lang w:eastAsia="cs-CZ"/>
        </w:rPr>
        <w:t>8.743,80</w:t>
      </w:r>
      <w:r w:rsidR="003E3611" w:rsidRPr="00EC3167">
        <w:rPr>
          <w:rFonts w:ascii="Calibri" w:eastAsia="Times New Roman" w:hAnsi="Calibri" w:cs="Times New Roman"/>
          <w:lang w:eastAsia="cs-CZ"/>
        </w:rPr>
        <w:t> </w:t>
      </w:r>
      <w:r w:rsidRPr="00EC3167">
        <w:rPr>
          <w:rFonts w:ascii="Calibri" w:eastAsia="Times New Roman" w:hAnsi="Calibri" w:cs="Times New Roman"/>
          <w:lang w:eastAsia="cs-CZ"/>
        </w:rPr>
        <w:t xml:space="preserve">Kč </w:t>
      </w:r>
      <w:r w:rsidRPr="00EC3167">
        <w:rPr>
          <w:rFonts w:ascii="Calibri" w:eastAsia="Times New Roman" w:hAnsi="Calibri" w:cs="Times New Roman"/>
          <w:szCs w:val="24"/>
          <w:lang w:eastAsia="cs-CZ"/>
        </w:rPr>
        <w:t xml:space="preserve">+ </w:t>
      </w:r>
      <w:r w:rsidR="00322AD2">
        <w:rPr>
          <w:rFonts w:ascii="Calibri" w:eastAsia="Times New Roman" w:hAnsi="Calibri" w:cs="Times New Roman"/>
          <w:szCs w:val="24"/>
          <w:lang w:eastAsia="cs-CZ"/>
        </w:rPr>
        <w:t>1.836,20</w:t>
      </w:r>
      <w:r w:rsidR="00322AD2" w:rsidRPr="00EC3167">
        <w:rPr>
          <w:rFonts w:ascii="Calibri" w:eastAsia="Times New Roman" w:hAnsi="Calibri" w:cs="Times New Roman"/>
          <w:szCs w:val="24"/>
          <w:lang w:eastAsia="cs-CZ"/>
        </w:rPr>
        <w:t xml:space="preserve"> Kč </w:t>
      </w:r>
      <w:r w:rsidR="00322AD2">
        <w:rPr>
          <w:rFonts w:ascii="Calibri" w:eastAsia="Times New Roman" w:hAnsi="Calibri" w:cs="Times New Roman"/>
          <w:szCs w:val="24"/>
          <w:lang w:eastAsia="cs-CZ"/>
        </w:rPr>
        <w:t>(</w:t>
      </w:r>
      <w:r w:rsidR="00593EA8" w:rsidRPr="00EC3167">
        <w:rPr>
          <w:rFonts w:ascii="Calibri" w:eastAsia="Times New Roman" w:hAnsi="Calibri" w:cs="Times New Roman"/>
          <w:szCs w:val="24"/>
          <w:lang w:eastAsia="cs-CZ"/>
        </w:rPr>
        <w:t>21</w:t>
      </w:r>
      <w:r w:rsidR="008D51F5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="00593EA8" w:rsidRPr="00EC3167">
        <w:rPr>
          <w:rFonts w:ascii="Calibri" w:eastAsia="Times New Roman" w:hAnsi="Calibri" w:cs="Times New Roman"/>
          <w:szCs w:val="24"/>
          <w:lang w:eastAsia="cs-CZ"/>
        </w:rPr>
        <w:t>%</w:t>
      </w:r>
      <w:r w:rsidRPr="00EC3167">
        <w:rPr>
          <w:rFonts w:ascii="Calibri" w:eastAsia="Times New Roman" w:hAnsi="Calibri" w:cs="Times New Roman"/>
          <w:szCs w:val="24"/>
          <w:lang w:eastAsia="cs-CZ"/>
        </w:rPr>
        <w:t xml:space="preserve"> DPH</w:t>
      </w:r>
      <w:r w:rsidR="00322AD2">
        <w:rPr>
          <w:rFonts w:ascii="Calibri" w:eastAsia="Times New Roman" w:hAnsi="Calibri" w:cs="Times New Roman"/>
          <w:szCs w:val="24"/>
          <w:lang w:eastAsia="cs-CZ"/>
        </w:rPr>
        <w:t>)</w:t>
      </w:r>
      <w:r w:rsidR="000C1429" w:rsidRPr="00EC3167">
        <w:rPr>
          <w:rFonts w:ascii="Calibri" w:eastAsia="Times New Roman" w:hAnsi="Calibri" w:cs="Times New Roman"/>
          <w:szCs w:val="24"/>
          <w:lang w:eastAsia="cs-CZ"/>
        </w:rPr>
        <w:t xml:space="preserve">, tzn. celkem </w:t>
      </w:r>
      <w:r w:rsidR="00ED7427">
        <w:rPr>
          <w:rFonts w:ascii="Calibri" w:eastAsia="Times New Roman" w:hAnsi="Calibri" w:cs="Times New Roman"/>
          <w:szCs w:val="24"/>
          <w:lang w:eastAsia="cs-CZ"/>
        </w:rPr>
        <w:t>10.580,-</w:t>
      </w:r>
      <w:r w:rsidR="003E3611" w:rsidRPr="00EC3167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="000C1429" w:rsidRPr="00EC3167">
        <w:rPr>
          <w:rFonts w:ascii="Calibri" w:eastAsia="Times New Roman" w:hAnsi="Calibri" w:cs="Times New Roman"/>
          <w:szCs w:val="24"/>
          <w:lang w:eastAsia="cs-CZ"/>
        </w:rPr>
        <w:t xml:space="preserve">Kč </w:t>
      </w:r>
      <w:r w:rsidR="000C1429" w:rsidRPr="00EC3167">
        <w:rPr>
          <w:rFonts w:ascii="Calibri" w:eastAsia="Times New Roman" w:hAnsi="Calibri" w:cs="Times New Roman"/>
          <w:lang w:eastAsia="cs-CZ"/>
        </w:rPr>
        <w:t xml:space="preserve">(slovy: </w:t>
      </w:r>
      <w:r w:rsidR="00ED7427">
        <w:rPr>
          <w:rFonts w:ascii="Calibri" w:eastAsia="Times New Roman" w:hAnsi="Calibri" w:cs="Times New Roman"/>
          <w:lang w:eastAsia="cs-CZ"/>
        </w:rPr>
        <w:t>desettisícpětset</w:t>
      </w:r>
      <w:r w:rsidR="00F767B8">
        <w:rPr>
          <w:rFonts w:ascii="Calibri" w:eastAsia="Times New Roman" w:hAnsi="Calibri" w:cs="Times New Roman"/>
          <w:lang w:eastAsia="cs-CZ"/>
        </w:rPr>
        <w:t xml:space="preserve"> </w:t>
      </w:r>
      <w:r w:rsidR="00ED7427">
        <w:rPr>
          <w:rFonts w:ascii="Calibri" w:eastAsia="Times New Roman" w:hAnsi="Calibri" w:cs="Times New Roman"/>
          <w:lang w:eastAsia="cs-CZ"/>
        </w:rPr>
        <w:t>osmdesát korun českých</w:t>
      </w:r>
      <w:r w:rsidR="000C1429" w:rsidRPr="00EC3167">
        <w:rPr>
          <w:rFonts w:ascii="Calibri" w:eastAsia="Times New Roman" w:hAnsi="Calibri" w:cs="Times New Roman"/>
          <w:lang w:eastAsia="cs-CZ"/>
        </w:rPr>
        <w:t>) vč. DPH</w:t>
      </w:r>
      <w:r w:rsidRPr="00EC3167">
        <w:rPr>
          <w:rFonts w:ascii="Calibri" w:eastAsia="Times New Roman" w:hAnsi="Calibri" w:cs="Times New Roman"/>
          <w:lang w:eastAsia="cs-CZ"/>
        </w:rPr>
        <w:t>.</w:t>
      </w:r>
      <w:r w:rsidR="00834D64" w:rsidRPr="00EC3167">
        <w:rPr>
          <w:rFonts w:ascii="Calibri" w:eastAsia="Times New Roman" w:hAnsi="Calibri" w:cs="Times New Roman"/>
          <w:lang w:eastAsia="cs-CZ"/>
        </w:rPr>
        <w:t xml:space="preserve"> </w:t>
      </w:r>
      <w:r w:rsidR="00322AD2">
        <w:rPr>
          <w:rFonts w:ascii="Calibri" w:eastAsia="Times New Roman" w:hAnsi="Calibri" w:cs="Times New Roman"/>
          <w:lang w:eastAsia="cs-CZ"/>
        </w:rPr>
        <w:t>Dále je oprávněný povinen uhradit náklady na vyhotovení znaleckého posudku ve výši 5.000,-Kč + 1.050,-Kč (21</w:t>
      </w:r>
      <w:r w:rsidR="008D51F5">
        <w:rPr>
          <w:rFonts w:ascii="Calibri" w:eastAsia="Times New Roman" w:hAnsi="Calibri" w:cs="Times New Roman"/>
          <w:lang w:eastAsia="cs-CZ"/>
        </w:rPr>
        <w:t xml:space="preserve"> </w:t>
      </w:r>
      <w:r w:rsidR="00322AD2">
        <w:rPr>
          <w:rFonts w:ascii="Calibri" w:eastAsia="Times New Roman" w:hAnsi="Calibri" w:cs="Times New Roman"/>
          <w:lang w:eastAsia="cs-CZ"/>
        </w:rPr>
        <w:t>% DPH), tzn</w:t>
      </w:r>
      <w:r w:rsidR="008D51F5">
        <w:rPr>
          <w:rFonts w:ascii="Calibri" w:eastAsia="Times New Roman" w:hAnsi="Calibri" w:cs="Times New Roman"/>
          <w:lang w:eastAsia="cs-CZ"/>
        </w:rPr>
        <w:t>.</w:t>
      </w:r>
      <w:r w:rsidR="00322AD2">
        <w:rPr>
          <w:rFonts w:ascii="Calibri" w:eastAsia="Times New Roman" w:hAnsi="Calibri" w:cs="Times New Roman"/>
          <w:lang w:eastAsia="cs-CZ"/>
        </w:rPr>
        <w:t xml:space="preserve"> celkem 6.050,-Kč (slovy šesttisícpadesát korun českých) vč. DPH. </w:t>
      </w:r>
    </w:p>
    <w:bookmarkEnd w:id="8"/>
    <w:p w14:paraId="17736AB1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41D0D57A" w14:textId="7F58F8CD" w:rsidR="002D34C4" w:rsidRPr="00FC4D96" w:rsidRDefault="00BC4C25" w:rsidP="00FC4D96">
      <w:pPr>
        <w:numPr>
          <w:ilvl w:val="0"/>
          <w:numId w:val="7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contextualSpacing/>
        <w:jc w:val="both"/>
        <w:textAlignment w:val="baseline"/>
        <w:rPr>
          <w:rFonts w:ascii="Calibri" w:eastAsia="Times New Roman" w:hAnsi="Calibri" w:cs="Times New Roman"/>
          <w:lang w:eastAsia="cs-CZ"/>
        </w:rPr>
      </w:pPr>
      <w:r w:rsidRPr="00FC4D96">
        <w:rPr>
          <w:rFonts w:ascii="Calibri" w:eastAsia="Times New Roman" w:hAnsi="Calibri" w:cs="Times New Roman"/>
          <w:lang w:eastAsia="cs-CZ"/>
        </w:rPr>
        <w:t xml:space="preserve">Tato </w:t>
      </w:r>
      <w:r w:rsidR="007535E2">
        <w:rPr>
          <w:rFonts w:ascii="Calibri" w:eastAsia="Times New Roman" w:hAnsi="Calibri" w:cs="Times New Roman"/>
          <w:lang w:eastAsia="cs-CZ"/>
        </w:rPr>
        <w:t>s</w:t>
      </w:r>
      <w:r w:rsidRPr="00FC4D96">
        <w:rPr>
          <w:rFonts w:ascii="Calibri" w:eastAsia="Times New Roman" w:hAnsi="Calibri" w:cs="Times New Roman"/>
          <w:lang w:eastAsia="cs-CZ"/>
        </w:rPr>
        <w:t xml:space="preserve">mlouva o zřízení věcného břemene se bude považovat za daňový doklad dle § 26 </w:t>
      </w:r>
      <w:r w:rsidR="00DF6AC9" w:rsidRPr="00FC4D96">
        <w:rPr>
          <w:rFonts w:ascii="Calibri" w:eastAsia="Times New Roman" w:hAnsi="Calibri" w:cs="Times New Roman"/>
          <w:lang w:eastAsia="cs-CZ"/>
        </w:rPr>
        <w:t>a</w:t>
      </w:r>
      <w:r w:rsidR="00DF6AC9">
        <w:rPr>
          <w:rFonts w:ascii="Calibri" w:eastAsia="Times New Roman" w:hAnsi="Calibri" w:cs="Times New Roman"/>
          <w:lang w:eastAsia="cs-CZ"/>
        </w:rPr>
        <w:t> </w:t>
      </w:r>
      <w:r w:rsidRPr="00FC4D96">
        <w:rPr>
          <w:rFonts w:ascii="Calibri" w:eastAsia="Times New Roman" w:hAnsi="Calibri" w:cs="Times New Roman"/>
          <w:lang w:eastAsia="cs-CZ"/>
        </w:rPr>
        <w:t xml:space="preserve">následujících zákona č. 235/2004 Sb., o dani z přidané hodnoty, ve znění pozdějších předpisů. </w:t>
      </w:r>
      <w:r w:rsidR="00D903F9" w:rsidRPr="00FC4D96">
        <w:rPr>
          <w:rFonts w:ascii="Calibri" w:eastAsia="Times New Roman" w:hAnsi="Calibri" w:cs="Times New Roman"/>
          <w:lang w:eastAsia="cs-CZ"/>
        </w:rPr>
        <w:t xml:space="preserve">Pro účely této smlouvy se povinný považuje za dodavatele a oprávněný za odběratele. Číslo daňového dokladu je rovno číslu smlouvy oprávněného. </w:t>
      </w:r>
      <w:r w:rsidR="002D34C4" w:rsidRPr="00FC4D96">
        <w:rPr>
          <w:rFonts w:ascii="Calibri" w:eastAsia="Times New Roman" w:hAnsi="Calibri" w:cs="Times New Roman"/>
          <w:lang w:eastAsia="cs-CZ"/>
        </w:rPr>
        <w:t xml:space="preserve">Za den uskutečnění zdanitelného plnění se považuje den </w:t>
      </w:r>
      <w:r w:rsidRPr="00FC4D96">
        <w:rPr>
          <w:rFonts w:ascii="Calibri" w:eastAsia="Times New Roman" w:hAnsi="Calibri" w:cs="Times New Roman"/>
          <w:lang w:eastAsia="cs-CZ"/>
        </w:rPr>
        <w:t>uzavření této smlouvy.</w:t>
      </w:r>
      <w:r w:rsidR="002D34C4" w:rsidRPr="00FC4D96">
        <w:rPr>
          <w:rFonts w:ascii="Calibri" w:eastAsia="Times New Roman" w:hAnsi="Calibri" w:cs="Times New Roman"/>
          <w:lang w:eastAsia="cs-CZ"/>
        </w:rPr>
        <w:t xml:space="preserve"> </w:t>
      </w:r>
      <w:r w:rsidRPr="00FC4D96">
        <w:rPr>
          <w:rFonts w:ascii="Calibri" w:eastAsia="Times New Roman" w:hAnsi="Calibri" w:cs="Times New Roman"/>
          <w:lang w:eastAsia="cs-CZ"/>
        </w:rPr>
        <w:t xml:space="preserve">Oprávněný uhradí výše uvedenou částku povinnému na účet, uvedený v záhlaví této smlouvy, a to do </w:t>
      </w:r>
      <w:r w:rsidR="002D34C4" w:rsidRPr="00FC4D96">
        <w:rPr>
          <w:rFonts w:ascii="Calibri" w:eastAsia="Times New Roman" w:hAnsi="Calibri" w:cs="Times New Roman"/>
          <w:lang w:eastAsia="cs-CZ"/>
        </w:rPr>
        <w:t xml:space="preserve">21 dnů poté, co bude vyrozumění o provedení vkladu práva dle této smlouvy </w:t>
      </w:r>
      <w:r w:rsidRPr="00FC4D96">
        <w:rPr>
          <w:rFonts w:ascii="Calibri" w:eastAsia="Times New Roman" w:hAnsi="Calibri" w:cs="Times New Roman"/>
          <w:lang w:eastAsia="cs-CZ"/>
        </w:rPr>
        <w:t xml:space="preserve">příslušným katastrálním úřadem </w:t>
      </w:r>
      <w:r w:rsidR="002D34C4" w:rsidRPr="00FC4D96">
        <w:rPr>
          <w:rFonts w:ascii="Calibri" w:eastAsia="Times New Roman" w:hAnsi="Calibri" w:cs="Times New Roman"/>
          <w:lang w:eastAsia="cs-CZ"/>
        </w:rPr>
        <w:t xml:space="preserve">doručeno oprávněnému. </w:t>
      </w:r>
    </w:p>
    <w:p w14:paraId="039A869C" w14:textId="77777777"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5A2AC79E" w14:textId="77777777"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Povinný a oprávněný se dohodli, že v případě, kdy povinný ke dni uskutečnění zdanitelného plnění nebude mít zveřejněn účet dle příslušných ustanovení zák. č. 235/2004 Sb., o DPH, na který má být zaplacena úhrada za zřízení VB, </w:t>
      </w:r>
      <w:r w:rsidR="004B1F34">
        <w:rPr>
          <w:szCs w:val="24"/>
        </w:rPr>
        <w:t>nebo bude vyžadovat platbu na účet vedený poskytovatelem platebních služeb mimo Českou republiku</w:t>
      </w:r>
      <w:r w:rsidR="004B1F34" w:rsidRPr="002D34C4">
        <w:rPr>
          <w:rFonts w:ascii="Calibri" w:eastAsia="Times New Roman" w:hAnsi="Calibri" w:cs="Times New Roman"/>
          <w:lang w:eastAsia="cs-CZ"/>
        </w:rPr>
        <w:t xml:space="preserve"> </w:t>
      </w:r>
      <w:r w:rsidRPr="002D34C4">
        <w:rPr>
          <w:rFonts w:ascii="Calibri" w:eastAsia="Times New Roman" w:hAnsi="Calibri" w:cs="Times New Roman"/>
          <w:lang w:eastAsia="cs-CZ"/>
        </w:rPr>
        <w:t xml:space="preserve">bude tato platba provedena tak, že částku, představující DPH, zaplatí oprávněný přímo na účet správce daně povinného. </w:t>
      </w:r>
    </w:p>
    <w:p w14:paraId="3638D409" w14:textId="77777777"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3D2B3CBB" w14:textId="77777777"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Povinný a oprávněný se dohodli, že v případě, kdy u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oprávněný přímo na účet správce daně povinného. </w:t>
      </w:r>
    </w:p>
    <w:p w14:paraId="3EC59525" w14:textId="77777777"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7E82AE5A" w14:textId="3ED4744D" w:rsidR="002D34C4" w:rsidRPr="001C5D54" w:rsidRDefault="002D34C4" w:rsidP="008D51F5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highlight w:val="cyan"/>
          <w:lang w:eastAsia="cs-CZ"/>
        </w:rPr>
      </w:pPr>
      <w:r w:rsidRPr="001C5D54">
        <w:rPr>
          <w:rFonts w:ascii="Calibri" w:eastAsia="Times New Roman" w:hAnsi="Calibri" w:cs="Times New Roman"/>
          <w:lang w:eastAsia="cs-CZ"/>
        </w:rPr>
        <w:t>Finanční výdaje, spojené s podáním návrhu na vklad práva dle této smlouvy do katastru nemovitostí</w:t>
      </w:r>
      <w:r w:rsidR="00936610" w:rsidRPr="001C5D54">
        <w:rPr>
          <w:rFonts w:ascii="Calibri" w:eastAsia="Times New Roman" w:hAnsi="Calibri" w:cs="Times New Roman"/>
          <w:lang w:eastAsia="cs-CZ"/>
        </w:rPr>
        <w:t>,</w:t>
      </w:r>
      <w:r w:rsidRPr="001C5D54">
        <w:rPr>
          <w:rFonts w:ascii="Calibri" w:eastAsia="Times New Roman" w:hAnsi="Calibri" w:cs="Times New Roman"/>
          <w:lang w:eastAsia="cs-CZ"/>
        </w:rPr>
        <w:t xml:space="preserve"> nese </w:t>
      </w:r>
      <w:r w:rsidRPr="001C5D54">
        <w:rPr>
          <w:rFonts w:ascii="Calibri" w:eastAsia="Times New Roman" w:hAnsi="Calibri" w:cs="Times New Roman"/>
          <w:szCs w:val="24"/>
          <w:lang w:eastAsia="cs-CZ"/>
        </w:rPr>
        <w:t>oprávněný</w:t>
      </w:r>
      <w:r w:rsidRPr="001C5D54">
        <w:rPr>
          <w:rFonts w:ascii="Calibri" w:eastAsia="Times New Roman" w:hAnsi="Calibri" w:cs="Times New Roman"/>
          <w:lang w:eastAsia="cs-CZ"/>
        </w:rPr>
        <w:t>.</w:t>
      </w:r>
      <w:r w:rsidR="006E78DB" w:rsidRPr="001C5D54">
        <w:rPr>
          <w:rFonts w:ascii="Calibri" w:eastAsia="Times New Roman" w:hAnsi="Calibri" w:cs="Times New Roman"/>
          <w:lang w:eastAsia="cs-CZ"/>
        </w:rPr>
        <w:t xml:space="preserve"> </w:t>
      </w:r>
    </w:p>
    <w:p w14:paraId="73F143F9" w14:textId="77777777" w:rsidR="00F767B8" w:rsidRDefault="00F767B8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highlight w:val="cyan"/>
          <w:lang w:eastAsia="cs-CZ"/>
        </w:rPr>
      </w:pPr>
    </w:p>
    <w:p w14:paraId="09C994B5" w14:textId="77777777" w:rsidR="00F767B8" w:rsidRPr="002D34C4" w:rsidRDefault="00F767B8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highlight w:val="cyan"/>
          <w:lang w:eastAsia="cs-CZ"/>
        </w:rPr>
      </w:pPr>
    </w:p>
    <w:p w14:paraId="031E2D67" w14:textId="77777777" w:rsidR="005A49E9" w:rsidRDefault="005A49E9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</w:p>
    <w:p w14:paraId="01D42410" w14:textId="63CE79A9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lastRenderedPageBreak/>
        <w:t>V.</w:t>
      </w:r>
    </w:p>
    <w:p w14:paraId="42783561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Doba trvání věcného břemene</w:t>
      </w:r>
    </w:p>
    <w:p w14:paraId="18A4B398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018A812D" w14:textId="54CCF650" w:rsidR="002D34C4" w:rsidRPr="002D34C4" w:rsidRDefault="002D34C4" w:rsidP="00F767B8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Věcné břemeno, zřízené touto smlouvou, se sjednává jako časově neomezené a zaniká v případech stanovených zákonem.</w:t>
      </w:r>
    </w:p>
    <w:p w14:paraId="0735E667" w14:textId="77777777" w:rsidR="00FC4D96" w:rsidRDefault="00FC4D96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</w:p>
    <w:p w14:paraId="39D4AE1F" w14:textId="77777777" w:rsidR="00FC4D96" w:rsidRDefault="00FC4D96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</w:p>
    <w:p w14:paraId="2F28B7A6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VI.</w:t>
      </w:r>
    </w:p>
    <w:p w14:paraId="481A33B8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Ostatní ujednání</w:t>
      </w:r>
    </w:p>
    <w:p w14:paraId="303F0092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7C05BC00" w14:textId="77777777"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Povinný výslovně souhlasí, aby oprávněný a jeho případní smluvní partneři v době do povolení vkladu věcného břemene dle této smlouvy do katastru nemovitostí Pozemek užíval za účelem zajištění bezpečného provozu, údržby, oprav a stavebních úprav plynárenského zařízení.</w:t>
      </w:r>
    </w:p>
    <w:p w14:paraId="030A3979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3A4B98F8" w14:textId="77777777"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má ve vztahu k Pozemku dále oprávnění, která mu, jako PDS, vznikem věcného břemene dle této smlouvy přísluší především z ustanovení § 59 odst. 1 písm. f) a g) energetického zákona: </w:t>
      </w:r>
    </w:p>
    <w:p w14:paraId="01383CEA" w14:textId="77777777" w:rsidR="002D34C4" w:rsidRPr="002D34C4" w:rsidRDefault="002D34C4" w:rsidP="002D34C4">
      <w:pPr>
        <w:numPr>
          <w:ilvl w:val="0"/>
          <w:numId w:val="5"/>
        </w:numPr>
        <w:spacing w:after="0" w:line="276" w:lineRule="auto"/>
        <w:ind w:left="1134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vstupovat a vjíždět na Pozemek v souvislosti s realizací práv, vyplývajících z věcného břemene;</w:t>
      </w:r>
    </w:p>
    <w:p w14:paraId="658586D1" w14:textId="56124503" w:rsidR="002D34C4" w:rsidRPr="002D34C4" w:rsidRDefault="002D34C4" w:rsidP="002D34C4">
      <w:pPr>
        <w:numPr>
          <w:ilvl w:val="0"/>
          <w:numId w:val="5"/>
        </w:numPr>
        <w:spacing w:after="0" w:line="276" w:lineRule="auto"/>
        <w:ind w:left="1134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odstraňovat a oklešťovat na Pozemku stromoví a jiné porosty, provádět likvidaci odstraněného a okleštěného stromoví a jiných porostů, ohrožujících bezpečné </w:t>
      </w:r>
      <w:r w:rsidR="00EC3167" w:rsidRPr="002D34C4">
        <w:rPr>
          <w:rFonts w:ascii="Calibri" w:eastAsia="Times New Roman" w:hAnsi="Calibri" w:cs="Times New Roman"/>
          <w:lang w:eastAsia="cs-CZ"/>
        </w:rPr>
        <w:t>a</w:t>
      </w:r>
      <w:r w:rsidR="00EC3167">
        <w:rPr>
          <w:rFonts w:ascii="Calibri" w:eastAsia="Times New Roman" w:hAnsi="Calibri" w:cs="Times New Roman"/>
          <w:lang w:eastAsia="cs-CZ"/>
        </w:rPr>
        <w:t> </w:t>
      </w:r>
      <w:r w:rsidRPr="002D34C4">
        <w:rPr>
          <w:rFonts w:ascii="Calibri" w:eastAsia="Times New Roman" w:hAnsi="Calibri" w:cs="Times New Roman"/>
          <w:lang w:eastAsia="cs-CZ"/>
        </w:rPr>
        <w:t>spolehlivé provozování plynárenského zařízení v případech, kdy tak po předchozím upozornění a stanovení rozsahu neučinil sám povinný.</w:t>
      </w:r>
    </w:p>
    <w:p w14:paraId="4E91E767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4E6739CD" w14:textId="15EE57CA"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je povinen při výkonu práva dle této smlouvy postupovat dle příslušných ustanovení energetického zákona a co nejvíce šetřit práva povinného. Po skončení prací je oprávněný povinen uvést vždy Pozemek do předchozího stavu a není-li to možné s ohledem na povahu provedených prací, do stavu odpovídajícího předchozímu účelu či užívání nemovitosti </w:t>
      </w:r>
      <w:r w:rsidR="00EC3167" w:rsidRPr="002D34C4">
        <w:rPr>
          <w:rFonts w:ascii="Calibri" w:eastAsia="Times New Roman" w:hAnsi="Calibri" w:cs="Times New Roman"/>
          <w:lang w:eastAsia="cs-CZ"/>
        </w:rPr>
        <w:t>a</w:t>
      </w:r>
      <w:r w:rsidR="00EC3167">
        <w:rPr>
          <w:rFonts w:ascii="Calibri" w:eastAsia="Times New Roman" w:hAnsi="Calibri" w:cs="Times New Roman"/>
          <w:lang w:eastAsia="cs-CZ"/>
        </w:rPr>
        <w:t> </w:t>
      </w:r>
      <w:r w:rsidRPr="002D34C4">
        <w:rPr>
          <w:rFonts w:ascii="Calibri" w:eastAsia="Times New Roman" w:hAnsi="Calibri" w:cs="Times New Roman"/>
          <w:lang w:eastAsia="cs-CZ"/>
        </w:rPr>
        <w:t xml:space="preserve">bezprostředně oznámit tuto skutečnost povinnému. </w:t>
      </w:r>
    </w:p>
    <w:p w14:paraId="69215013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3E09EA9B" w14:textId="01EF50B3"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Jednat ve věcech, souvisejících s výkonem práv podle této smlouvy, je za stranu povinnou oprávněn</w:t>
      </w:r>
      <w:r w:rsidR="00FC4D96">
        <w:rPr>
          <w:rFonts w:ascii="Calibri" w:eastAsia="Times New Roman" w:hAnsi="Calibri" w:cs="Times New Roman"/>
          <w:lang w:eastAsia="cs-CZ"/>
        </w:rPr>
        <w:t xml:space="preserve"> </w:t>
      </w:r>
      <w:r w:rsidR="00EC3167">
        <w:rPr>
          <w:rFonts w:ascii="Calibri" w:eastAsia="Times New Roman" w:hAnsi="Calibri" w:cs="Times New Roman"/>
          <w:lang w:eastAsia="cs-CZ"/>
        </w:rPr>
        <w:t>odbor správy majetku</w:t>
      </w:r>
      <w:r w:rsidRPr="002D34C4">
        <w:rPr>
          <w:rFonts w:ascii="Calibri" w:eastAsia="Times New Roman" w:hAnsi="Calibri" w:cs="Times New Roman"/>
          <w:lang w:eastAsia="cs-CZ"/>
        </w:rPr>
        <w:t xml:space="preserve">, tel. č.: </w:t>
      </w:r>
      <w:r w:rsidR="00EC3167">
        <w:rPr>
          <w:rFonts w:ascii="Calibri" w:eastAsia="Times New Roman" w:hAnsi="Calibri" w:cs="Times New Roman"/>
          <w:lang w:eastAsia="cs-CZ"/>
        </w:rPr>
        <w:t>284 028 229.</w:t>
      </w:r>
      <w:r w:rsidRPr="002D34C4">
        <w:rPr>
          <w:rFonts w:ascii="Calibri" w:eastAsia="Times New Roman" w:hAnsi="Calibri" w:cs="Times New Roman"/>
          <w:lang w:eastAsia="cs-CZ"/>
        </w:rPr>
        <w:t xml:space="preserve"> V případě změny v osobě oprávněné za povinného jednat, se povinný zavazuje, tuto změnu bezodkladně ohlásit oprávněnému. Za oprávněného je ve věcech, souvisejících s výkonem práv podle této smlouvy, pověřen provozně-technický útvar, kontaktní tel. č.: 267 175 650.</w:t>
      </w:r>
    </w:p>
    <w:p w14:paraId="1D79FFE5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503B064B" w14:textId="77777777" w:rsidR="00DA573A" w:rsidRPr="002D34C4" w:rsidRDefault="00DA573A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71B3252E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VII.</w:t>
      </w:r>
    </w:p>
    <w:p w14:paraId="00A64E20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Závěrečná ustanovení</w:t>
      </w:r>
    </w:p>
    <w:p w14:paraId="070FD135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04D99ED9" w14:textId="77777777" w:rsidR="00593EA8" w:rsidRPr="00593EA8" w:rsidRDefault="00DF300E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>
        <w:t>Povinný</w:t>
      </w:r>
      <w:r>
        <w:rPr>
          <w:bCs/>
          <w:iCs/>
          <w:color w:val="000000"/>
          <w:lang w:val="en-US"/>
        </w:rPr>
        <w:t>, je-li fyzickou osobou,</w:t>
      </w:r>
      <w:r>
        <w:rPr>
          <w:bCs/>
          <w:iCs/>
          <w:lang w:val="en-US"/>
        </w:rPr>
        <w:t xml:space="preserve">  </w:t>
      </w:r>
      <w:r>
        <w:rPr>
          <w:bCs/>
          <w:iCs/>
        </w:rPr>
        <w:t>bere na vědomí, že oprávněný zpracovává osobní údaje povinného</w:t>
      </w:r>
      <w:r>
        <w:rPr>
          <w:bCs/>
          <w:iCs/>
          <w:lang w:val="en-US"/>
        </w:rPr>
        <w:t xml:space="preserve"> </w:t>
      </w:r>
      <w:r>
        <w:rPr>
          <w:bCs/>
          <w:iCs/>
        </w:rPr>
        <w:t xml:space="preserve">v souladu s příslušnými právními předpisy, zejména v souladu s obecným nařízením o ochraně osobních údajů, a že poskytnutí jeho  osobních údajů je smluvním požadavkem a pro řádné uzavření smlouvy má  povinnost </w:t>
      </w:r>
      <w:r>
        <w:t>povinný</w:t>
      </w:r>
      <w:r>
        <w:rPr>
          <w:bCs/>
          <w:iCs/>
          <w:lang w:val="en-US"/>
        </w:rPr>
        <w:t xml:space="preserve"> </w:t>
      </w:r>
      <w:r>
        <w:rPr>
          <w:bCs/>
          <w:iCs/>
        </w:rPr>
        <w:t xml:space="preserve"> tyto osobní údaje poskytnout. Veškeré </w:t>
      </w:r>
      <w:r>
        <w:rPr>
          <w:bCs/>
          <w:iCs/>
        </w:rPr>
        <w:lastRenderedPageBreak/>
        <w:t xml:space="preserve">informace o tomto zpracování osobních údajů jsou uvedeny v dokumentu Informační memorandum dostupném na </w:t>
      </w:r>
      <w:hyperlink r:id="rId7" w:history="1">
        <w:r>
          <w:rPr>
            <w:rStyle w:val="Hypertextovodkaz"/>
            <w:bCs/>
            <w:iCs/>
          </w:rPr>
          <w:t>www.ppdistribuce.cz</w:t>
        </w:r>
      </w:hyperlink>
      <w:r>
        <w:rPr>
          <w:bCs/>
          <w:iCs/>
        </w:rPr>
        <w:t xml:space="preserve"> a dále na vyžádání v sídle </w:t>
      </w:r>
      <w:r>
        <w:rPr>
          <w:bCs/>
          <w:iCs/>
          <w:lang w:val="en-US"/>
        </w:rPr>
        <w:t>oprávněného.</w:t>
      </w:r>
    </w:p>
    <w:p w14:paraId="2BAF997A" w14:textId="77777777" w:rsidR="00593EA8" w:rsidRPr="00593EA8" w:rsidRDefault="00593EA8" w:rsidP="00593EA8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0A9FA6B7" w14:textId="4E714F3A" w:rsidR="00593EA8" w:rsidRPr="00593EA8" w:rsidRDefault="00593EA8" w:rsidP="00593EA8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>
        <w:t>P</w:t>
      </w:r>
      <w:r w:rsidRPr="00593EA8">
        <w:rPr>
          <w:rFonts w:cs="Tahoma"/>
          <w:iCs/>
        </w:rPr>
        <w:t>odléhá-li tato smlouva povinnosti uveřejnění prostřednictvím registru smluv dle zákona č</w:t>
      </w:r>
      <w:r w:rsidR="00EC3167" w:rsidRPr="00593EA8">
        <w:rPr>
          <w:rFonts w:cs="Tahoma"/>
          <w:iCs/>
        </w:rPr>
        <w:t>.</w:t>
      </w:r>
      <w:r w:rsidR="00EC3167">
        <w:rPr>
          <w:rFonts w:cs="Tahoma"/>
          <w:iCs/>
        </w:rPr>
        <w:t> </w:t>
      </w:r>
      <w:r w:rsidRPr="00593EA8">
        <w:rPr>
          <w:rFonts w:cs="Tahoma"/>
          <w:iCs/>
        </w:rPr>
        <w:t xml:space="preserve">340/2015 Sb., o zvláštních podmínkách účinnosti některých smluv, uveřejňování těchto smluv a o registru smluv (zákon o registru smluv), v platném znění, povinný zajistí uveřejnění této smlouvy v registru smluv. </w:t>
      </w:r>
      <w:r w:rsidRPr="00593EA8">
        <w:rPr>
          <w:rFonts w:cs="Tahoma"/>
        </w:rPr>
        <w:t xml:space="preserve">Uveřejnění této smlouvy provede po znečitelnění zejména obchodního tajemství, osobních údajů, chráněných provozních informací (údajů, vedoucích k identifikaci plynárenského zařízení) </w:t>
      </w:r>
      <w:r w:rsidR="00EC3167" w:rsidRPr="00593EA8">
        <w:rPr>
          <w:rFonts w:cs="Tahoma"/>
        </w:rPr>
        <w:t>a</w:t>
      </w:r>
      <w:r w:rsidR="00EC3167">
        <w:rPr>
          <w:rFonts w:cs="Tahoma"/>
        </w:rPr>
        <w:t> </w:t>
      </w:r>
      <w:r w:rsidRPr="00593EA8">
        <w:rPr>
          <w:rFonts w:cs="Tahoma"/>
        </w:rPr>
        <w:t>bankovních spojení.</w:t>
      </w:r>
    </w:p>
    <w:p w14:paraId="29CB7DF5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7EABD610" w14:textId="77777777" w:rsid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Smluvní strany prohlašují, že smlouva představuje úplnou dohodu o veškerých jejích náležitostech a neexistují náležitosti, které by smluvní strany neujednaly.</w:t>
      </w:r>
    </w:p>
    <w:p w14:paraId="214012E5" w14:textId="77777777" w:rsidR="00932DEF" w:rsidRDefault="00932DEF" w:rsidP="00932DEF">
      <w:pPr>
        <w:pStyle w:val="Odstavecseseznamem"/>
        <w:rPr>
          <w:rFonts w:ascii="Calibri" w:eastAsia="Times New Roman" w:hAnsi="Calibri" w:cs="Times New Roman"/>
          <w:lang w:eastAsia="cs-CZ"/>
        </w:rPr>
      </w:pPr>
    </w:p>
    <w:p w14:paraId="3221ACCA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změnu, odchylku nebo dodatek následně schválí.</w:t>
      </w:r>
    </w:p>
    <w:p w14:paraId="50EE93CE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6BA9182E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Tato smlouva je vyhotovena v</w:t>
      </w:r>
      <w:r w:rsidR="00FC4D96">
        <w:rPr>
          <w:rFonts w:ascii="Calibri" w:eastAsia="Times New Roman" w:hAnsi="Calibri" w:cs="Times New Roman"/>
          <w:lang w:eastAsia="cs-CZ"/>
        </w:rPr>
        <w:t>e třech</w:t>
      </w:r>
      <w:r w:rsidRPr="002D34C4">
        <w:rPr>
          <w:rFonts w:ascii="Calibri" w:eastAsia="Times New Roman" w:hAnsi="Calibri" w:cs="Times New Roman"/>
          <w:lang w:eastAsia="cs-CZ"/>
        </w:rPr>
        <w:t xml:space="preserve"> stejnopisech s platností originálu. Jeden stejnopis je určen pro potřeby příslušného katastrálního úřadu k řízení o povolení vkladu práva, odpovídajícího věcnému břemeni, do katastru nemovitostí. Každá ze smluvních stran obdrží po jednom stejnopisu.</w:t>
      </w:r>
    </w:p>
    <w:p w14:paraId="51118E74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2992C7CB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Smluvní strany se dohodly, že návrh na vklad práva odpovídajícího věcnému břemeni dle této smlouvy do katastru nemovitostí bude předložen Katastrálnímu úřadu pro </w:t>
      </w:r>
      <w:r w:rsidR="00FC4D96">
        <w:rPr>
          <w:rFonts w:ascii="Calibri" w:eastAsia="Times New Roman" w:hAnsi="Calibri" w:cs="Times New Roman"/>
          <w:lang w:eastAsia="cs-CZ"/>
        </w:rPr>
        <w:t>hlavní město Prahu</w:t>
      </w:r>
      <w:r w:rsidRPr="002D34C4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FC4D96">
        <w:rPr>
          <w:rFonts w:ascii="Calibri" w:eastAsia="Times New Roman" w:hAnsi="Calibri" w:cs="Times New Roman"/>
          <w:lang w:eastAsia="cs-CZ"/>
        </w:rPr>
        <w:t>Praha,</w:t>
      </w:r>
      <w:r w:rsidRPr="002D34C4">
        <w:rPr>
          <w:rFonts w:ascii="Calibri" w:eastAsia="Times New Roman" w:hAnsi="Calibri" w:cs="Times New Roman"/>
          <w:lang w:eastAsia="cs-CZ"/>
        </w:rPr>
        <w:t xml:space="preserve"> prostřednictvím oprávněného.</w:t>
      </w:r>
    </w:p>
    <w:p w14:paraId="7F076D71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5AFE78D1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Věcné břemeno podle této smlouvy vzniká v souladu s příslušným ustanovením občanského zákoníku zápisem do veřejného seznamu, kterým je katastr nemovitostí.</w:t>
      </w:r>
    </w:p>
    <w:p w14:paraId="6F6DD200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631E2F4D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Pokud se něco v této smlouvě ukáže neplatným či to bude bránit vkladu práva odpovídajícího věcnému břemeni do katastru nemovitostí, neznamená to zánik smlouvy, ale strany se dohodnou podle zásad poctivého obchodního styku o nahrazení textu jiným, sledujícím stejný účel nebo o doplnění podkladů pro příslušný katastrální úřad.</w:t>
      </w:r>
    </w:p>
    <w:p w14:paraId="18098CFE" w14:textId="77777777" w:rsidR="002D34C4" w:rsidRPr="002D34C4" w:rsidRDefault="002D34C4" w:rsidP="002D34C4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lang w:eastAsia="cs-CZ"/>
        </w:rPr>
      </w:pPr>
    </w:p>
    <w:p w14:paraId="4172B4F4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Tato smlouva nabývá platnosti a účinnosti dnem jejího podpisu oběma smluvními stranami, přičemž rozhodující je datum podpisu poslední smluvní strany. </w:t>
      </w:r>
      <w:r w:rsidR="00934651">
        <w:rPr>
          <w:rFonts w:ascii="Calibri" w:eastAsia="Times New Roman" w:hAnsi="Calibri" w:cs="Times New Roman"/>
          <w:lang w:eastAsia="cs-CZ"/>
        </w:rPr>
        <w:t>V případě povinnosti uveřejnit smlouvu v registru smluv, tato nabývá účinnosti dnem uveřejnění.</w:t>
      </w:r>
    </w:p>
    <w:p w14:paraId="6894D5D2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30DBC9AF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Smlouva může být měněna nebo doplňována pouze formou vzestupně číslovaných písemných dodatků, podepsaných oběma smluvními stranami.</w:t>
      </w:r>
    </w:p>
    <w:p w14:paraId="7AD503BB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58FD0FDF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Smlouva a právní vztahy z ní vyplývající se řídí právním řádem České republiky.</w:t>
      </w:r>
    </w:p>
    <w:p w14:paraId="7F56D06C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4086CD73" w14:textId="77777777" w:rsidR="0093169B" w:rsidRPr="00F767B8" w:rsidRDefault="002D34C4" w:rsidP="00F767B8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rFonts w:ascii="Tahoma" w:hAnsi="Tahoma" w:cs="Tahoma"/>
          <w:spacing w:val="-3"/>
          <w:sz w:val="20"/>
          <w:szCs w:val="20"/>
        </w:rPr>
      </w:pPr>
      <w:r w:rsidRPr="0093169B">
        <w:rPr>
          <w:rFonts w:ascii="Calibri" w:eastAsia="Times New Roman" w:hAnsi="Calibri" w:cs="Times New Roman"/>
          <w:lang w:eastAsia="cs-CZ"/>
        </w:rPr>
        <w:lastRenderedPageBreak/>
        <w:t>Na právní vztahy, vyplývající nebo související s touto smlouvou a v ní nebo v energetickém zákoně výslovně neupravené se přiměřeně uplatní ustanovení Občanského zákoníku.</w:t>
      </w:r>
    </w:p>
    <w:p w14:paraId="6BF94699" w14:textId="77777777" w:rsidR="00F767B8" w:rsidRPr="00F767B8" w:rsidRDefault="00F767B8" w:rsidP="00F767B8">
      <w:pPr>
        <w:spacing w:after="0" w:line="240" w:lineRule="auto"/>
        <w:ind w:left="567"/>
        <w:contextualSpacing/>
        <w:jc w:val="both"/>
        <w:rPr>
          <w:rFonts w:ascii="Tahoma" w:hAnsi="Tahoma" w:cs="Tahoma"/>
          <w:spacing w:val="-3"/>
          <w:sz w:val="20"/>
          <w:szCs w:val="20"/>
        </w:rPr>
      </w:pPr>
    </w:p>
    <w:p w14:paraId="0E848554" w14:textId="77777777" w:rsidR="0093169B" w:rsidRPr="00F767B8" w:rsidRDefault="0093169B" w:rsidP="00F767B8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cs="Tahoma"/>
          <w:spacing w:val="-3"/>
        </w:rPr>
      </w:pPr>
      <w:r w:rsidRPr="00F767B8">
        <w:rPr>
          <w:rFonts w:cs="Tahoma"/>
          <w:spacing w:val="-3"/>
        </w:rPr>
        <w:t>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0CFBA51C" w14:textId="77777777" w:rsidR="0093169B" w:rsidRPr="00F767B8" w:rsidRDefault="0093169B" w:rsidP="00F767B8">
      <w:pPr>
        <w:spacing w:after="0" w:line="276" w:lineRule="auto"/>
        <w:contextualSpacing/>
        <w:jc w:val="both"/>
        <w:rPr>
          <w:rFonts w:cs="Tahoma"/>
          <w:spacing w:val="-3"/>
        </w:rPr>
      </w:pPr>
    </w:p>
    <w:p w14:paraId="2CF9E27D" w14:textId="193A2FBA" w:rsidR="0093169B" w:rsidRPr="00F767B8" w:rsidRDefault="0093169B" w:rsidP="00F767B8">
      <w:pPr>
        <w:pStyle w:val="Odstavecseseznamem"/>
        <w:numPr>
          <w:ilvl w:val="0"/>
          <w:numId w:val="6"/>
        </w:numPr>
        <w:spacing w:after="0" w:line="276" w:lineRule="auto"/>
        <w:ind w:left="567" w:hanging="567"/>
        <w:jc w:val="both"/>
        <w:rPr>
          <w:rFonts w:cs="Tahoma"/>
          <w:spacing w:val="-3"/>
        </w:rPr>
      </w:pPr>
      <w:r w:rsidRPr="00F767B8">
        <w:rPr>
          <w:rFonts w:cs="Tahoma"/>
          <w:spacing w:val="-3"/>
        </w:rPr>
        <w:t>Povinný prohlašuje dle ust. § 43 odst. 1 zákona č. 131/2000 Sb., o hlavním městě Praze (ZoHMP), ve znění pozdějších předpisů, že podmínky pro platnost tohoto právního jednání byly splněny. Uzavření této smlouvy bylo schváleno Zastupitelstvem městské části Praha 18 usnesením ZMČ č.</w:t>
      </w:r>
      <w:r w:rsidR="00F767B8">
        <w:rPr>
          <w:rFonts w:cs="Tahoma"/>
          <w:spacing w:val="-3"/>
        </w:rPr>
        <w:t> </w:t>
      </w:r>
      <w:r w:rsidRPr="005A49E9">
        <w:rPr>
          <w:rFonts w:cs="Tahoma"/>
          <w:spacing w:val="-3"/>
          <w:highlight w:val="yellow"/>
        </w:rPr>
        <w:t>xxxxx</w:t>
      </w:r>
      <w:r w:rsidRPr="00F767B8">
        <w:rPr>
          <w:rFonts w:cs="Tahoma"/>
          <w:spacing w:val="-3"/>
        </w:rPr>
        <w:t xml:space="preserve"> ze dne </w:t>
      </w:r>
      <w:r w:rsidRPr="005A49E9">
        <w:rPr>
          <w:rFonts w:cs="Tahoma"/>
          <w:spacing w:val="-3"/>
          <w:highlight w:val="yellow"/>
        </w:rPr>
        <w:t>…….,</w:t>
      </w:r>
      <w:r w:rsidRPr="00F767B8">
        <w:rPr>
          <w:rFonts w:cs="Tahoma"/>
          <w:spacing w:val="-3"/>
        </w:rPr>
        <w:t xml:space="preserve"> které si rozhodnutí v této věci vyhradilo dle ust. § 94 odst. 3 ZoHMP.</w:t>
      </w:r>
    </w:p>
    <w:p w14:paraId="0CC5FDF0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22AB9CE2" w14:textId="77777777" w:rsid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14:paraId="2CAE4286" w14:textId="77777777" w:rsidR="000C1429" w:rsidRPr="002D34C4" w:rsidRDefault="000C1429" w:rsidP="000C1429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343ADFE7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 xml:space="preserve">Přílohy: </w:t>
      </w:r>
      <w:r w:rsidRPr="002D34C4">
        <w:rPr>
          <w:rFonts w:ascii="Calibri" w:eastAsia="Times New Roman" w:hAnsi="Calibri" w:cs="Times New Roman"/>
          <w:b/>
          <w:lang w:eastAsia="cs-CZ"/>
        </w:rPr>
        <w:tab/>
      </w:r>
    </w:p>
    <w:p w14:paraId="51AC76DC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č. 1 - Geometrický plán č. </w:t>
      </w:r>
      <w:r w:rsidR="00FC4D96">
        <w:rPr>
          <w:rFonts w:ascii="Calibri" w:eastAsia="Times New Roman" w:hAnsi="Calibri" w:cs="Times New Roman"/>
          <w:lang w:eastAsia="cs-CZ"/>
        </w:rPr>
        <w:t>1638-81/2018</w:t>
      </w:r>
    </w:p>
    <w:p w14:paraId="6058BCDF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4752A6E1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D34C4" w:rsidRPr="002D34C4" w14:paraId="21467B79" w14:textId="77777777" w:rsidTr="00927D82">
        <w:tc>
          <w:tcPr>
            <w:tcW w:w="4606" w:type="dxa"/>
          </w:tcPr>
          <w:p w14:paraId="48D8E6D8" w14:textId="77777777" w:rsidR="002D34C4" w:rsidRPr="002D34C4" w:rsidRDefault="002D34C4" w:rsidP="00FC4D96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 xml:space="preserve">V </w:t>
            </w:r>
            <w:r w:rsidR="00FC4D96">
              <w:rPr>
                <w:rFonts w:ascii="Calibri" w:eastAsia="Calibri" w:hAnsi="Calibri" w:cs="Times New Roman"/>
              </w:rPr>
              <w:t>Praze</w:t>
            </w:r>
            <w:r w:rsidRPr="002D34C4">
              <w:rPr>
                <w:rFonts w:ascii="Calibri" w:eastAsia="Calibri" w:hAnsi="Calibri" w:cs="Times New Roman"/>
              </w:rPr>
              <w:t xml:space="preserve"> dne …………………….</w:t>
            </w:r>
          </w:p>
        </w:tc>
        <w:tc>
          <w:tcPr>
            <w:tcW w:w="4606" w:type="dxa"/>
          </w:tcPr>
          <w:p w14:paraId="441CD5E5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V Praze dne …………………….</w:t>
            </w:r>
          </w:p>
        </w:tc>
      </w:tr>
      <w:tr w:rsidR="002D34C4" w:rsidRPr="002D34C4" w14:paraId="0BAAFAF3" w14:textId="77777777" w:rsidTr="00927D82">
        <w:tc>
          <w:tcPr>
            <w:tcW w:w="4606" w:type="dxa"/>
          </w:tcPr>
          <w:p w14:paraId="27FB9D29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14:paraId="7AC8FD51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14:paraId="06C60B82" w14:textId="77777777" w:rsidTr="00927D82">
        <w:tc>
          <w:tcPr>
            <w:tcW w:w="4606" w:type="dxa"/>
          </w:tcPr>
          <w:p w14:paraId="3969ECC2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14:paraId="2FAC95F6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 w:rsidRPr="002D34C4">
              <w:rPr>
                <w:rFonts w:ascii="Calibri" w:eastAsia="Calibri" w:hAnsi="Calibri" w:cs="Times New Roman"/>
                <w:u w:val="single"/>
              </w:rPr>
              <w:t>Povinný:</w:t>
            </w:r>
          </w:p>
        </w:tc>
        <w:tc>
          <w:tcPr>
            <w:tcW w:w="4606" w:type="dxa"/>
          </w:tcPr>
          <w:p w14:paraId="0B01BCC9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14:paraId="5CB42A42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 w:rsidRPr="002D34C4">
              <w:rPr>
                <w:rFonts w:ascii="Calibri" w:eastAsia="Calibri" w:hAnsi="Calibri" w:cs="Times New Roman"/>
                <w:u w:val="single"/>
              </w:rPr>
              <w:t>Oprávněný:</w:t>
            </w:r>
          </w:p>
        </w:tc>
      </w:tr>
      <w:tr w:rsidR="002D34C4" w:rsidRPr="002D34C4" w14:paraId="4FAA6263" w14:textId="77777777" w:rsidTr="00927D82">
        <w:tc>
          <w:tcPr>
            <w:tcW w:w="4606" w:type="dxa"/>
          </w:tcPr>
          <w:p w14:paraId="76B4326B" w14:textId="77777777" w:rsidR="002D34C4" w:rsidRPr="002D34C4" w:rsidRDefault="00FC4D96" w:rsidP="002D34C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Městská část Praha 18</w:t>
            </w:r>
          </w:p>
        </w:tc>
        <w:tc>
          <w:tcPr>
            <w:tcW w:w="4606" w:type="dxa"/>
          </w:tcPr>
          <w:p w14:paraId="79FF3BE9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Pražská plynárenská Distribuce, a.s.,</w:t>
            </w:r>
            <w:r w:rsidRPr="002D34C4">
              <w:rPr>
                <w:rFonts w:ascii="Calibri" w:eastAsia="Calibri" w:hAnsi="Calibri" w:cs="Times New Roman"/>
              </w:rPr>
              <w:tab/>
            </w:r>
          </w:p>
        </w:tc>
      </w:tr>
      <w:tr w:rsidR="002D34C4" w:rsidRPr="002D34C4" w14:paraId="1ACFA5D9" w14:textId="77777777" w:rsidTr="00927D82">
        <w:tc>
          <w:tcPr>
            <w:tcW w:w="4606" w:type="dxa"/>
          </w:tcPr>
          <w:p w14:paraId="568D5CD6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14:paraId="082F54AA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člen koncernu Pražská plynárenská, a.s.</w:t>
            </w:r>
          </w:p>
        </w:tc>
      </w:tr>
      <w:tr w:rsidR="002D34C4" w:rsidRPr="002D34C4" w14:paraId="0DD6F2F4" w14:textId="77777777" w:rsidTr="00927D82">
        <w:tc>
          <w:tcPr>
            <w:tcW w:w="4606" w:type="dxa"/>
          </w:tcPr>
          <w:p w14:paraId="2B1A3021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14:paraId="26B5219B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14:paraId="59F5FFA0" w14:textId="77777777" w:rsidTr="00927D82">
        <w:tc>
          <w:tcPr>
            <w:tcW w:w="4606" w:type="dxa"/>
          </w:tcPr>
          <w:p w14:paraId="0A334499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14:paraId="6BDB5FC5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14:paraId="211C809A" w14:textId="77777777" w:rsidTr="00927D82">
        <w:tc>
          <w:tcPr>
            <w:tcW w:w="4606" w:type="dxa"/>
          </w:tcPr>
          <w:p w14:paraId="4D5C8F17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14:paraId="72EA49C2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14:paraId="751C0D6F" w14:textId="77777777" w:rsidTr="00927D82">
        <w:tc>
          <w:tcPr>
            <w:tcW w:w="4606" w:type="dxa"/>
          </w:tcPr>
          <w:p w14:paraId="5D7E67CA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…………………….…………………….</w:t>
            </w:r>
          </w:p>
        </w:tc>
        <w:tc>
          <w:tcPr>
            <w:tcW w:w="4606" w:type="dxa"/>
          </w:tcPr>
          <w:p w14:paraId="55609409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…………………….…………………….</w:t>
            </w:r>
          </w:p>
        </w:tc>
      </w:tr>
      <w:tr w:rsidR="002D34C4" w:rsidRPr="002D34C4" w14:paraId="4BB04B92" w14:textId="77777777" w:rsidTr="00927D82">
        <w:tc>
          <w:tcPr>
            <w:tcW w:w="4606" w:type="dxa"/>
          </w:tcPr>
          <w:p w14:paraId="503C584E" w14:textId="11A92278" w:rsidR="002D34C4" w:rsidRPr="002D34C4" w:rsidRDefault="00FC4D96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Mgr. </w:t>
            </w:r>
            <w:r w:rsidR="00B35029" w:rsidRPr="00CF7366">
              <w:rPr>
                <w:rFonts w:ascii="Calibri" w:eastAsia="Times New Roman" w:hAnsi="Calibri" w:cs="Times New Roman"/>
                <w:lang w:eastAsia="cs-CZ"/>
              </w:rPr>
              <w:t>Zde</w:t>
            </w:r>
            <w:r w:rsidR="00B35029">
              <w:rPr>
                <w:rFonts w:ascii="Calibri" w:eastAsia="Times New Roman" w:hAnsi="Calibri" w:cs="Times New Roman"/>
                <w:lang w:eastAsia="cs-CZ"/>
              </w:rPr>
              <w:t>něk</w:t>
            </w:r>
            <w:r w:rsidR="00B35029" w:rsidRPr="00CF7366">
              <w:rPr>
                <w:rFonts w:ascii="Calibri" w:eastAsia="Times New Roman" w:hAnsi="Calibri" w:cs="Times New Roman"/>
                <w:lang w:eastAsia="cs-CZ"/>
              </w:rPr>
              <w:t xml:space="preserve"> Kučer</w:t>
            </w:r>
            <w:r w:rsidR="00B35029">
              <w:rPr>
                <w:rFonts w:ascii="Calibri" w:eastAsia="Times New Roman" w:hAnsi="Calibri" w:cs="Times New Roman"/>
                <w:lang w:eastAsia="cs-CZ"/>
              </w:rPr>
              <w:t>a</w:t>
            </w:r>
            <w:r w:rsidR="00B35029" w:rsidRPr="00CF7366">
              <w:rPr>
                <w:rFonts w:ascii="Calibri" w:eastAsia="Times New Roman" w:hAnsi="Calibri" w:cs="Times New Roman"/>
                <w:lang w:eastAsia="cs-CZ"/>
              </w:rPr>
              <w:t>, MBA</w:t>
            </w:r>
          </w:p>
        </w:tc>
        <w:tc>
          <w:tcPr>
            <w:tcW w:w="4606" w:type="dxa"/>
          </w:tcPr>
          <w:p w14:paraId="36148147" w14:textId="77777777" w:rsidR="002D34C4" w:rsidRPr="002D34C4" w:rsidRDefault="006D3002" w:rsidP="002D34C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Mgr. Jana Hyklová</w:t>
            </w:r>
          </w:p>
        </w:tc>
      </w:tr>
      <w:tr w:rsidR="002D34C4" w:rsidRPr="002D34C4" w14:paraId="4C089802" w14:textId="77777777" w:rsidTr="00927D82">
        <w:tc>
          <w:tcPr>
            <w:tcW w:w="4606" w:type="dxa"/>
          </w:tcPr>
          <w:p w14:paraId="45500485" w14:textId="77777777" w:rsidR="002D34C4" w:rsidRPr="002D34C4" w:rsidRDefault="00FC4D96" w:rsidP="002D34C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starosta</w:t>
            </w:r>
          </w:p>
        </w:tc>
        <w:tc>
          <w:tcPr>
            <w:tcW w:w="4606" w:type="dxa"/>
          </w:tcPr>
          <w:p w14:paraId="29CA2C0C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na základě pověření</w:t>
            </w:r>
          </w:p>
        </w:tc>
      </w:tr>
    </w:tbl>
    <w:p w14:paraId="00BC61CB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56004CC9" w14:textId="77777777" w:rsidR="00866A0B" w:rsidRPr="002D34C4" w:rsidRDefault="00866A0B">
      <w:pPr>
        <w:rPr>
          <w:b/>
        </w:rPr>
      </w:pPr>
    </w:p>
    <w:sectPr w:rsidR="00866A0B" w:rsidRPr="002D34C4" w:rsidSect="002D5229">
      <w:footerReference w:type="default" r:id="rId8"/>
      <w:pgSz w:w="11906" w:h="16838"/>
      <w:pgMar w:top="1417" w:right="1417" w:bottom="1417" w:left="1417" w:header="62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1B896" w14:textId="77777777" w:rsidR="00A602F1" w:rsidRDefault="00A602F1">
      <w:pPr>
        <w:spacing w:after="0" w:line="240" w:lineRule="auto"/>
      </w:pPr>
      <w:r>
        <w:separator/>
      </w:r>
    </w:p>
  </w:endnote>
  <w:endnote w:type="continuationSeparator" w:id="0">
    <w:p w14:paraId="7D6071B7" w14:textId="77777777" w:rsidR="00A602F1" w:rsidRDefault="00A6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B1084" w14:textId="77777777" w:rsidR="00182E34" w:rsidRPr="00F173F8" w:rsidRDefault="002D34C4" w:rsidP="0015715D">
    <w:pPr>
      <w:pStyle w:val="Zpat"/>
      <w:jc w:val="center"/>
      <w:rPr>
        <w:sz w:val="16"/>
      </w:rPr>
    </w:pPr>
    <w:r w:rsidRPr="002D34C4">
      <w:rPr>
        <w:b/>
        <w:color w:val="808080"/>
        <w:sz w:val="16"/>
        <w:szCs w:val="16"/>
      </w:rPr>
      <w:fldChar w:fldCharType="begin"/>
    </w:r>
    <w:r w:rsidRPr="002D34C4">
      <w:rPr>
        <w:b/>
        <w:color w:val="808080"/>
        <w:sz w:val="16"/>
        <w:szCs w:val="16"/>
      </w:rPr>
      <w:instrText>PAGE  \* Arabic  \* MERGEFORMAT</w:instrText>
    </w:r>
    <w:r w:rsidRPr="002D34C4">
      <w:rPr>
        <w:b/>
        <w:color w:val="808080"/>
        <w:sz w:val="16"/>
        <w:szCs w:val="16"/>
      </w:rPr>
      <w:fldChar w:fldCharType="separate"/>
    </w:r>
    <w:r w:rsidR="007D65A6">
      <w:rPr>
        <w:b/>
        <w:noProof/>
        <w:color w:val="808080"/>
        <w:sz w:val="16"/>
        <w:szCs w:val="16"/>
      </w:rPr>
      <w:t>6</w:t>
    </w:r>
    <w:r w:rsidRPr="002D34C4">
      <w:rPr>
        <w:b/>
        <w:color w:val="808080"/>
        <w:sz w:val="16"/>
        <w:szCs w:val="16"/>
      </w:rPr>
      <w:fldChar w:fldCharType="end"/>
    </w:r>
    <w:r w:rsidRPr="002D34C4">
      <w:rPr>
        <w:color w:val="808080"/>
        <w:sz w:val="16"/>
        <w:szCs w:val="16"/>
      </w:rPr>
      <w:t xml:space="preserve"> / </w:t>
    </w:r>
    <w:r w:rsidRPr="002D34C4">
      <w:rPr>
        <w:b/>
        <w:color w:val="808080"/>
        <w:sz w:val="16"/>
        <w:szCs w:val="16"/>
      </w:rPr>
      <w:fldChar w:fldCharType="begin"/>
    </w:r>
    <w:r w:rsidRPr="002D34C4">
      <w:rPr>
        <w:b/>
        <w:color w:val="808080"/>
        <w:sz w:val="16"/>
        <w:szCs w:val="16"/>
      </w:rPr>
      <w:instrText>NUMPAGES  \* Arabic  \* MERGEFORMAT</w:instrText>
    </w:r>
    <w:r w:rsidRPr="002D34C4">
      <w:rPr>
        <w:b/>
        <w:color w:val="808080"/>
        <w:sz w:val="16"/>
        <w:szCs w:val="16"/>
      </w:rPr>
      <w:fldChar w:fldCharType="separate"/>
    </w:r>
    <w:r w:rsidR="007D65A6">
      <w:rPr>
        <w:b/>
        <w:noProof/>
        <w:color w:val="808080"/>
        <w:sz w:val="16"/>
        <w:szCs w:val="16"/>
      </w:rPr>
      <w:t>6</w:t>
    </w:r>
    <w:r w:rsidRPr="002D34C4">
      <w:rPr>
        <w:b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DF706" w14:textId="77777777" w:rsidR="00A602F1" w:rsidRDefault="00A602F1">
      <w:pPr>
        <w:spacing w:after="0" w:line="240" w:lineRule="auto"/>
      </w:pPr>
      <w:r>
        <w:separator/>
      </w:r>
    </w:p>
  </w:footnote>
  <w:footnote w:type="continuationSeparator" w:id="0">
    <w:p w14:paraId="644728C1" w14:textId="77777777" w:rsidR="00A602F1" w:rsidRDefault="00A60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91F7A"/>
    <w:multiLevelType w:val="hybridMultilevel"/>
    <w:tmpl w:val="6AE44F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2" w15:restartNumberingAfterBreak="0">
    <w:nsid w:val="279234D8"/>
    <w:multiLevelType w:val="hybridMultilevel"/>
    <w:tmpl w:val="00E6B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F70"/>
    <w:multiLevelType w:val="hybridMultilevel"/>
    <w:tmpl w:val="D4FE9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CA9"/>
    <w:multiLevelType w:val="hybridMultilevel"/>
    <w:tmpl w:val="571EA36A"/>
    <w:lvl w:ilvl="0" w:tplc="A9FE0E90">
      <w:start w:val="1"/>
      <w:numFmt w:val="ordinal"/>
      <w:lvlText w:val="5.%1"/>
      <w:lvlJc w:val="left"/>
      <w:pPr>
        <w:ind w:left="5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B871CE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26A3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6A0D"/>
    <w:multiLevelType w:val="hybridMultilevel"/>
    <w:tmpl w:val="9EE41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F7EDC"/>
    <w:multiLevelType w:val="hybridMultilevel"/>
    <w:tmpl w:val="57D85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C3622"/>
    <w:multiLevelType w:val="multilevel"/>
    <w:tmpl w:val="C7D0FE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4F6A61"/>
    <w:multiLevelType w:val="hybridMultilevel"/>
    <w:tmpl w:val="A55EA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ocumentProtection w:edit="trackedChanges" w:enforcement="1" w:cryptProviderType="rsaAES" w:cryptAlgorithmClass="hash" w:cryptAlgorithmType="typeAny" w:cryptAlgorithmSid="14" w:cryptSpinCount="100000" w:hash="EiqoUIPb6mnyBRM/MAe1o3ATjZVNrlHVq2CpvNpUcQbPLMFIuRzkB0oUT+sHt989foijXwxr0n3e/eBfTR51og==" w:salt="bMfGeAfgzhw8JGS4Nsv5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C4"/>
    <w:rsid w:val="000A0947"/>
    <w:rsid w:val="000C1429"/>
    <w:rsid w:val="000F7B8F"/>
    <w:rsid w:val="0010605F"/>
    <w:rsid w:val="00132FB4"/>
    <w:rsid w:val="00192D07"/>
    <w:rsid w:val="0019628F"/>
    <w:rsid w:val="001A10C7"/>
    <w:rsid w:val="001C5D54"/>
    <w:rsid w:val="002D34C4"/>
    <w:rsid w:val="002D6528"/>
    <w:rsid w:val="002E7B59"/>
    <w:rsid w:val="00322AD2"/>
    <w:rsid w:val="00363C17"/>
    <w:rsid w:val="003E3611"/>
    <w:rsid w:val="004007BD"/>
    <w:rsid w:val="00413334"/>
    <w:rsid w:val="00454628"/>
    <w:rsid w:val="004805FD"/>
    <w:rsid w:val="00480A53"/>
    <w:rsid w:val="004B1F34"/>
    <w:rsid w:val="004D007D"/>
    <w:rsid w:val="00514CC6"/>
    <w:rsid w:val="00542B7B"/>
    <w:rsid w:val="00553277"/>
    <w:rsid w:val="00560D1D"/>
    <w:rsid w:val="00593EA8"/>
    <w:rsid w:val="005A49E9"/>
    <w:rsid w:val="005B28E2"/>
    <w:rsid w:val="005C0AC0"/>
    <w:rsid w:val="005D6CDB"/>
    <w:rsid w:val="006100BD"/>
    <w:rsid w:val="006335D7"/>
    <w:rsid w:val="00651FBD"/>
    <w:rsid w:val="006A1279"/>
    <w:rsid w:val="006B7D9C"/>
    <w:rsid w:val="006D3002"/>
    <w:rsid w:val="006E78DB"/>
    <w:rsid w:val="007535E2"/>
    <w:rsid w:val="007A2197"/>
    <w:rsid w:val="007D65A6"/>
    <w:rsid w:val="007D7539"/>
    <w:rsid w:val="0081419C"/>
    <w:rsid w:val="0083462B"/>
    <w:rsid w:val="00834D64"/>
    <w:rsid w:val="00866A0B"/>
    <w:rsid w:val="008B71DC"/>
    <w:rsid w:val="008D492F"/>
    <w:rsid w:val="008D51F5"/>
    <w:rsid w:val="00901C6B"/>
    <w:rsid w:val="0093169B"/>
    <w:rsid w:val="00932DEF"/>
    <w:rsid w:val="00934651"/>
    <w:rsid w:val="00936610"/>
    <w:rsid w:val="00A43A47"/>
    <w:rsid w:val="00A602F1"/>
    <w:rsid w:val="00AC304C"/>
    <w:rsid w:val="00AF5DC0"/>
    <w:rsid w:val="00B3487E"/>
    <w:rsid w:val="00B35029"/>
    <w:rsid w:val="00B56942"/>
    <w:rsid w:val="00B97E72"/>
    <w:rsid w:val="00BC4C25"/>
    <w:rsid w:val="00BC5FA1"/>
    <w:rsid w:val="00BE6312"/>
    <w:rsid w:val="00C11610"/>
    <w:rsid w:val="00C94DA9"/>
    <w:rsid w:val="00CA4DDA"/>
    <w:rsid w:val="00CB3129"/>
    <w:rsid w:val="00CC3ED9"/>
    <w:rsid w:val="00CC6CD8"/>
    <w:rsid w:val="00CF6DF0"/>
    <w:rsid w:val="00CF7366"/>
    <w:rsid w:val="00D0106B"/>
    <w:rsid w:val="00D540CA"/>
    <w:rsid w:val="00D55A7D"/>
    <w:rsid w:val="00D903F9"/>
    <w:rsid w:val="00DA573A"/>
    <w:rsid w:val="00DF300E"/>
    <w:rsid w:val="00DF6AC9"/>
    <w:rsid w:val="00EB7F36"/>
    <w:rsid w:val="00EC3167"/>
    <w:rsid w:val="00ED7427"/>
    <w:rsid w:val="00F05317"/>
    <w:rsid w:val="00F45C40"/>
    <w:rsid w:val="00F767B8"/>
    <w:rsid w:val="00FC4D96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3373C2"/>
  <w15:docId w15:val="{0ED57544-C0DD-4EF7-8DAF-1200D254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D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4C4"/>
  </w:style>
  <w:style w:type="table" w:customStyle="1" w:styleId="Mkatabulky1">
    <w:name w:val="Mřížka tabulky1"/>
    <w:basedOn w:val="Normlntabulka"/>
    <w:next w:val="Mkatabulky"/>
    <w:uiPriority w:val="5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0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30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F300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834D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34D64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D64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69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69B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C3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pdistribu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1887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 a.s.</Company>
  <LinksUpToDate>false</LinksUpToDate>
  <CharactersWithSpaces>12996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 Filip;Hyklová Jana Mgr.</dc:creator>
  <cp:lastModifiedBy>Zuzana Gladišová</cp:lastModifiedBy>
  <cp:revision>2</cp:revision>
  <cp:lastPrinted>2019-01-08T12:51:00Z</cp:lastPrinted>
  <dcterms:created xsi:type="dcterms:W3CDTF">2019-01-16T13:54:00Z</dcterms:created>
  <dcterms:modified xsi:type="dcterms:W3CDTF">2019-01-16T13:54:00Z</dcterms:modified>
</cp:coreProperties>
</file>